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B5AB64" w14:textId="17BBA7EC" w:rsidR="005E634B" w:rsidRDefault="009C6C59">
      <w:pPr>
        <w:pStyle w:val="Header"/>
        <w:tabs>
          <w:tab w:val="right" w:pos="9639"/>
        </w:tabs>
        <w:rPr>
          <w:bCs/>
          <w:i/>
          <w:sz w:val="24"/>
          <w:szCs w:val="24"/>
          <w:lang w:val="en-US"/>
        </w:rPr>
      </w:pPr>
      <w:bookmarkStart w:id="0" w:name="_GoBack"/>
      <w:bookmarkEnd w:id="0"/>
      <w:r>
        <w:rPr>
          <w:bCs/>
          <w:sz w:val="24"/>
          <w:szCs w:val="24"/>
        </w:rPr>
        <w:t>3GPP T</w:t>
      </w:r>
      <w:bookmarkStart w:id="1" w:name="_Ref452454252"/>
      <w:bookmarkEnd w:id="1"/>
      <w:r>
        <w:rPr>
          <w:bCs/>
          <w:sz w:val="24"/>
          <w:szCs w:val="24"/>
        </w:rPr>
        <w:t xml:space="preserve">SG-RAN </w:t>
      </w:r>
      <w:r>
        <w:rPr>
          <w:sz w:val="24"/>
          <w:szCs w:val="24"/>
        </w:rPr>
        <w:t>WG1 Meeting #9</w:t>
      </w:r>
      <w:r>
        <w:rPr>
          <w:sz w:val="24"/>
          <w:szCs w:val="24"/>
          <w:lang w:eastAsia="zh-CN"/>
        </w:rPr>
        <w:t>0</w:t>
      </w:r>
      <w:r w:rsidR="00110139">
        <w:rPr>
          <w:bCs/>
          <w:sz w:val="24"/>
          <w:szCs w:val="24"/>
        </w:rPr>
        <w:tab/>
        <w:t>R1-1713994</w:t>
      </w:r>
    </w:p>
    <w:p w14:paraId="7D7CFE9B" w14:textId="0B685483" w:rsidR="005E634B" w:rsidRDefault="009C6C59">
      <w:pPr>
        <w:pStyle w:val="Header"/>
        <w:rPr>
          <w:bCs/>
          <w:sz w:val="24"/>
        </w:rPr>
      </w:pPr>
      <w:r>
        <w:rPr>
          <w:sz w:val="24"/>
          <w:szCs w:val="24"/>
        </w:rPr>
        <w:t xml:space="preserve">Prague, </w:t>
      </w:r>
      <w:r w:rsidR="00147339" w:rsidRPr="00147339">
        <w:rPr>
          <w:sz w:val="24"/>
          <w:szCs w:val="24"/>
        </w:rPr>
        <w:t xml:space="preserve">Czech Republic, </w:t>
      </w:r>
      <w:r w:rsidR="00887FDC">
        <w:rPr>
          <w:sz w:val="24"/>
          <w:szCs w:val="24"/>
        </w:rPr>
        <w:t>21st</w:t>
      </w:r>
      <w:r>
        <w:rPr>
          <w:sz w:val="24"/>
          <w:szCs w:val="24"/>
        </w:rPr>
        <w:t xml:space="preserve"> – 25th August 2017</w:t>
      </w:r>
    </w:p>
    <w:p w14:paraId="3F407400" w14:textId="77777777" w:rsidR="005E634B" w:rsidRDefault="005E634B">
      <w:pPr>
        <w:pStyle w:val="CRCoverPage"/>
        <w:tabs>
          <w:tab w:val="left" w:pos="1985"/>
        </w:tabs>
        <w:rPr>
          <w:rFonts w:cs="Arial"/>
          <w:b/>
          <w:bCs/>
          <w:sz w:val="24"/>
          <w:lang w:eastAsia="ja-JP"/>
        </w:rPr>
      </w:pPr>
    </w:p>
    <w:p w14:paraId="26AEE8DC" w14:textId="5C74E819" w:rsidR="005E634B" w:rsidRDefault="009C6C59">
      <w:pPr>
        <w:tabs>
          <w:tab w:val="left" w:pos="1985"/>
        </w:tabs>
        <w:ind w:left="1985" w:hanging="1985"/>
        <w:rPr>
          <w:rFonts w:ascii="Arial" w:hAnsi="Arial" w:cs="Arial"/>
          <w:b/>
          <w:bCs/>
          <w:sz w:val="24"/>
        </w:rPr>
      </w:pPr>
      <w:r>
        <w:rPr>
          <w:rFonts w:ascii="Arial" w:hAnsi="Arial" w:cs="Arial"/>
          <w:b/>
          <w:bCs/>
          <w:sz w:val="24"/>
        </w:rPr>
        <w:t>Source:</w:t>
      </w:r>
      <w:r>
        <w:rPr>
          <w:rFonts w:ascii="Arial" w:hAnsi="Arial" w:cs="Arial"/>
          <w:b/>
          <w:bCs/>
          <w:sz w:val="24"/>
        </w:rPr>
        <w:tab/>
        <w:t xml:space="preserve">Nokia, </w:t>
      </w:r>
      <w:r w:rsidR="00147339">
        <w:rPr>
          <w:rFonts w:ascii="Arial" w:hAnsi="Arial" w:cs="Arial"/>
          <w:b/>
          <w:bCs/>
          <w:sz w:val="24"/>
        </w:rPr>
        <w:t>Nokia</w:t>
      </w:r>
      <w:r>
        <w:rPr>
          <w:rFonts w:ascii="Arial" w:hAnsi="Arial" w:cs="Arial"/>
          <w:b/>
          <w:bCs/>
          <w:sz w:val="24"/>
        </w:rPr>
        <w:t xml:space="preserve"> Shanghai Bell</w:t>
      </w:r>
    </w:p>
    <w:p w14:paraId="1F2816FE" w14:textId="77777777" w:rsidR="005E634B" w:rsidRDefault="009C6C59">
      <w:pPr>
        <w:ind w:left="1985" w:hanging="1985"/>
        <w:rPr>
          <w:rFonts w:ascii="Arial" w:hAnsi="Arial" w:cs="Arial"/>
          <w:b/>
          <w:bCs/>
          <w:sz w:val="24"/>
        </w:rPr>
      </w:pPr>
      <w:r>
        <w:rPr>
          <w:rFonts w:ascii="Arial" w:hAnsi="Arial" w:cs="Arial"/>
          <w:b/>
          <w:bCs/>
          <w:sz w:val="24"/>
        </w:rPr>
        <w:t>Title:</w:t>
      </w:r>
      <w:r>
        <w:rPr>
          <w:rFonts w:ascii="Arial" w:hAnsi="Arial" w:cs="Arial"/>
          <w:b/>
          <w:bCs/>
          <w:sz w:val="24"/>
        </w:rPr>
        <w:tab/>
        <w:t>Transmit diversity schemes for V2X PC5</w:t>
      </w:r>
    </w:p>
    <w:p w14:paraId="6006C44C" w14:textId="77777777" w:rsidR="005E634B" w:rsidRDefault="009C6C59">
      <w:pPr>
        <w:ind w:left="1985" w:hanging="1985"/>
        <w:rPr>
          <w:rFonts w:ascii="Arial" w:hAnsi="Arial" w:cs="Arial"/>
          <w:b/>
          <w:bCs/>
          <w:sz w:val="24"/>
        </w:rPr>
      </w:pPr>
      <w:r>
        <w:rPr>
          <w:rFonts w:ascii="Arial" w:hAnsi="Arial" w:cs="Arial"/>
          <w:b/>
          <w:bCs/>
          <w:sz w:val="24"/>
        </w:rPr>
        <w:t>Agenda item:</w:t>
      </w:r>
      <w:r>
        <w:rPr>
          <w:rFonts w:ascii="Arial" w:hAnsi="Arial" w:cs="Arial"/>
          <w:b/>
          <w:bCs/>
          <w:sz w:val="24"/>
        </w:rPr>
        <w:tab/>
      </w:r>
      <w:r>
        <w:rPr>
          <w:rFonts w:ascii="Arial" w:hAnsi="Arial" w:cs="Arial"/>
          <w:b/>
          <w:bCs/>
          <w:sz w:val="24"/>
          <w:lang w:eastAsia="zh-CN"/>
        </w:rPr>
        <w:t>5</w:t>
      </w:r>
      <w:r>
        <w:rPr>
          <w:rFonts w:ascii="Arial" w:hAnsi="Arial" w:cs="Arial"/>
          <w:b/>
          <w:bCs/>
          <w:sz w:val="24"/>
        </w:rPr>
        <w:t>.2.3.</w:t>
      </w:r>
      <w:r>
        <w:rPr>
          <w:rFonts w:ascii="Arial" w:hAnsi="Arial" w:cs="Arial"/>
          <w:b/>
          <w:bCs/>
          <w:sz w:val="24"/>
          <w:lang w:eastAsia="zh-CN"/>
        </w:rPr>
        <w:t>3</w:t>
      </w:r>
      <w:r>
        <w:rPr>
          <w:rFonts w:ascii="Arial" w:hAnsi="Arial" w:cs="Arial"/>
          <w:b/>
          <w:bCs/>
          <w:sz w:val="24"/>
        </w:rPr>
        <w:t>.1</w:t>
      </w:r>
    </w:p>
    <w:p w14:paraId="7EA57005" w14:textId="77777777" w:rsidR="005E634B" w:rsidRDefault="009C6C59">
      <w:pPr>
        <w:tabs>
          <w:tab w:val="left" w:pos="1985"/>
        </w:tabs>
        <w:rPr>
          <w:rFonts w:ascii="Arial" w:hAnsi="Arial" w:cs="Arial"/>
          <w:b/>
          <w:bCs/>
          <w:sz w:val="24"/>
        </w:rPr>
      </w:pPr>
      <w:r>
        <w:rPr>
          <w:rFonts w:ascii="Arial" w:hAnsi="Arial" w:cs="Arial"/>
          <w:b/>
          <w:bCs/>
          <w:sz w:val="24"/>
        </w:rPr>
        <w:t>Document for:</w:t>
      </w:r>
      <w:r>
        <w:rPr>
          <w:rFonts w:ascii="Arial" w:hAnsi="Arial" w:cs="Arial"/>
          <w:b/>
          <w:bCs/>
          <w:sz w:val="24"/>
        </w:rPr>
        <w:tab/>
        <w:t>Discussion and Decision</w:t>
      </w:r>
    </w:p>
    <w:p w14:paraId="2BC77CE8" w14:textId="77777777" w:rsidR="005E634B" w:rsidRDefault="009C6C59">
      <w:pPr>
        <w:pStyle w:val="Heading1"/>
      </w:pPr>
      <w:r>
        <w:t>1</w:t>
      </w:r>
      <w:r>
        <w:tab/>
        <w:t>Introduction</w:t>
      </w:r>
    </w:p>
    <w:p w14:paraId="1F0FAB52" w14:textId="77777777" w:rsidR="005E634B" w:rsidRDefault="009C6C59">
      <w:pPr>
        <w:spacing w:after="0"/>
        <w:jc w:val="both"/>
        <w:rPr>
          <w:lang w:eastAsia="zh-CN"/>
        </w:rPr>
      </w:pPr>
      <w:r>
        <w:rPr>
          <w:rFonts w:eastAsiaTheme="minorEastAsia" w:cs="Arial"/>
          <w:lang w:eastAsia="zh-CN"/>
        </w:rPr>
        <w:t>A n</w:t>
      </w:r>
      <w:r>
        <w:rPr>
          <w:rFonts w:cs="Arial"/>
          <w:lang w:eastAsia="zh-CN"/>
        </w:rPr>
        <w:t>ew WID on 3GPP V2X Phase 2</w:t>
      </w:r>
      <w:r>
        <w:rPr>
          <w:rFonts w:eastAsiaTheme="minorEastAsia" w:cs="Arial"/>
          <w:lang w:eastAsia="zh-CN"/>
        </w:rPr>
        <w:t xml:space="preserve"> was agreed in RAN meeting#75 </w:t>
      </w:r>
      <w:r>
        <w:rPr>
          <w:rFonts w:cs="Arial"/>
          <w:lang w:eastAsia="zh-CN"/>
        </w:rPr>
        <w:t>[1], with the transmit diversity described as follows</w:t>
      </w:r>
      <w:r>
        <w:rPr>
          <w:lang w:eastAsia="zh-CN"/>
        </w:rPr>
        <w:t>:</w:t>
      </w:r>
    </w:p>
    <w:p w14:paraId="372C36DD" w14:textId="77777777" w:rsidR="005E634B" w:rsidRDefault="005E634B">
      <w:pPr>
        <w:spacing w:after="0"/>
        <w:jc w:val="both"/>
        <w:rPr>
          <w:lang w:eastAsia="zh-CN"/>
        </w:rPr>
      </w:pPr>
    </w:p>
    <w:p w14:paraId="3641A077" w14:textId="77777777" w:rsidR="005E634B" w:rsidRDefault="009C6C59">
      <w:pPr>
        <w:ind w:left="284"/>
        <w:rPr>
          <w:rFonts w:eastAsia="MS Mincho"/>
          <w:i/>
          <w:lang w:eastAsia="ja-JP"/>
        </w:rPr>
      </w:pPr>
      <w:r>
        <w:rPr>
          <w:rFonts w:eastAsiaTheme="minorEastAsia"/>
          <w:i/>
          <w:lang w:eastAsia="zh-CN"/>
        </w:rPr>
        <w:t xml:space="preserve">2. </w:t>
      </w:r>
      <w:r>
        <w:rPr>
          <w:i/>
          <w:lang w:eastAsia="zh-CN"/>
        </w:rPr>
        <w:t>Study the feasibility and gain of PC5 operation with Transmit Diversity, assuming this PC5 functionality would co-exist in the same resource pools as Rel-14 functionality and use the same scheduling assignment format (</w:t>
      </w:r>
      <w:r>
        <w:rPr>
          <w:i/>
        </w:rPr>
        <w:t>which can be decoded by Rel-14 UEs</w:t>
      </w:r>
      <w:r>
        <w:rPr>
          <w:i/>
          <w:lang w:eastAsia="zh-CN"/>
        </w:rPr>
        <w:t>), without causing significant degradation to Rel-14 PC5 operation compared to that of Rel-14 UEs, and specify this PC5 functionality if justified. [RAN1, RAN2, RAN4]</w:t>
      </w:r>
      <w:r>
        <w:rPr>
          <w:rFonts w:eastAsia="MS Mincho"/>
          <w:i/>
          <w:lang w:eastAsia="ja-JP"/>
        </w:rPr>
        <w:t>.</w:t>
      </w:r>
    </w:p>
    <w:p w14:paraId="0EB5C974" w14:textId="46F9B4F0" w:rsidR="005E634B" w:rsidRDefault="009C6C59">
      <w:pPr>
        <w:jc w:val="both"/>
        <w:rPr>
          <w:lang w:eastAsia="zh-CN"/>
        </w:rPr>
      </w:pPr>
      <w:r>
        <w:rPr>
          <w:lang w:eastAsia="zh-CN"/>
        </w:rPr>
        <w:t>In RAN1#89, the potential transmit diversity schemes were discussed and the following agreement and working assumption were reached [2].</w:t>
      </w:r>
    </w:p>
    <w:p w14:paraId="6EFE20E8" w14:textId="77777777" w:rsidR="005E634B" w:rsidRDefault="009C6C59">
      <w:pPr>
        <w:spacing w:after="0"/>
        <w:ind w:left="200"/>
        <w:jc w:val="both"/>
        <w:rPr>
          <w:i/>
        </w:rPr>
      </w:pPr>
      <w:r>
        <w:rPr>
          <w:i/>
          <w:highlight w:val="green"/>
        </w:rPr>
        <w:t>Agreement</w:t>
      </w:r>
      <w:r>
        <w:rPr>
          <w:i/>
        </w:rPr>
        <w:t xml:space="preserve">: </w:t>
      </w:r>
    </w:p>
    <w:p w14:paraId="26416635" w14:textId="77777777" w:rsidR="005E634B" w:rsidRDefault="009C6C59">
      <w:pPr>
        <w:pStyle w:val="ListParagraph"/>
        <w:numPr>
          <w:ilvl w:val="0"/>
          <w:numId w:val="3"/>
        </w:numPr>
        <w:ind w:left="1040"/>
        <w:jc w:val="both"/>
        <w:rPr>
          <w:i/>
        </w:rPr>
      </w:pPr>
      <w:r>
        <w:rPr>
          <w:i/>
        </w:rPr>
        <w:t>Legacy Rel-14 DMRS pattern with single antenna port, including time-frequency location, sequence, and cyclic shift, is applied to PSCCH transmission.</w:t>
      </w:r>
    </w:p>
    <w:p w14:paraId="35FAD7E5" w14:textId="77777777" w:rsidR="005E634B" w:rsidRDefault="009C6C59">
      <w:pPr>
        <w:spacing w:after="0"/>
        <w:ind w:left="200"/>
        <w:rPr>
          <w:rFonts w:eastAsia="MS Mincho"/>
          <w:i/>
          <w:iCs/>
          <w:lang w:eastAsia="ja-JP"/>
        </w:rPr>
      </w:pPr>
      <w:r>
        <w:rPr>
          <w:rFonts w:eastAsia="MS Mincho"/>
          <w:i/>
          <w:iCs/>
          <w:highlight w:val="darkYellow"/>
          <w:lang w:eastAsia="ja-JP"/>
        </w:rPr>
        <w:t>Working Assumption:</w:t>
      </w:r>
      <w:r>
        <w:rPr>
          <w:rFonts w:eastAsia="MS Mincho"/>
          <w:i/>
          <w:iCs/>
          <w:lang w:eastAsia="ja-JP"/>
        </w:rPr>
        <w:t xml:space="preserve"> </w:t>
      </w:r>
    </w:p>
    <w:p w14:paraId="73394175" w14:textId="77777777" w:rsidR="005E634B" w:rsidRDefault="009C6C59">
      <w:pPr>
        <w:numPr>
          <w:ilvl w:val="0"/>
          <w:numId w:val="2"/>
        </w:numPr>
        <w:spacing w:after="0"/>
        <w:ind w:left="1051" w:hanging="425"/>
        <w:rPr>
          <w:rFonts w:eastAsia="MS Mincho"/>
          <w:i/>
          <w:iCs/>
          <w:lang w:eastAsia="ja-JP"/>
        </w:rPr>
      </w:pPr>
      <w:r>
        <w:rPr>
          <w:rFonts w:eastAsia="MS Mincho"/>
          <w:i/>
          <w:iCs/>
          <w:lang w:eastAsia="ja-JP"/>
        </w:rPr>
        <w:t>MMSE-MRC receiver is the baseline for Rel-14 UEs</w:t>
      </w:r>
    </w:p>
    <w:p w14:paraId="76911A77" w14:textId="77777777" w:rsidR="005E634B" w:rsidRDefault="009C6C59">
      <w:pPr>
        <w:numPr>
          <w:ilvl w:val="1"/>
          <w:numId w:val="2"/>
        </w:numPr>
        <w:spacing w:after="0"/>
        <w:ind w:left="1640"/>
        <w:rPr>
          <w:rFonts w:eastAsia="MS Mincho"/>
          <w:i/>
          <w:iCs/>
          <w:lang w:eastAsia="ja-JP"/>
        </w:rPr>
      </w:pPr>
      <w:r>
        <w:rPr>
          <w:rFonts w:eastAsia="MS Mincho"/>
          <w:i/>
          <w:iCs/>
          <w:lang w:eastAsia="ja-JP"/>
        </w:rPr>
        <w:t>Companies can bring results with advanced receivers for Rel-14 UEs</w:t>
      </w:r>
    </w:p>
    <w:p w14:paraId="37B135E7" w14:textId="77777777" w:rsidR="005E634B" w:rsidRDefault="009C6C59">
      <w:pPr>
        <w:spacing w:before="240"/>
        <w:jc w:val="both"/>
        <w:rPr>
          <w:lang w:eastAsia="zh-CN"/>
        </w:rPr>
      </w:pPr>
      <w:r>
        <w:rPr>
          <w:lang w:eastAsia="zh-CN"/>
        </w:rPr>
        <w:t xml:space="preserve">In this paper, the candidate transmit diversity schemes and associated DMRS are discussed. The evaluation results and conclusions are provided in accompanying papers [4] and [5], respectively. </w:t>
      </w:r>
    </w:p>
    <w:p w14:paraId="246D9D56" w14:textId="77777777" w:rsidR="005E634B" w:rsidRDefault="005E634B">
      <w:pPr>
        <w:jc w:val="both"/>
        <w:rPr>
          <w:lang w:val="en-US" w:eastAsia="zh-CN"/>
        </w:rPr>
      </w:pPr>
    </w:p>
    <w:p w14:paraId="1C39AB7C" w14:textId="77777777" w:rsidR="005E634B" w:rsidRDefault="009C6C59">
      <w:pPr>
        <w:pStyle w:val="Heading1"/>
        <w:rPr>
          <w:lang w:val="en-US" w:eastAsia="zh-CN"/>
        </w:rPr>
      </w:pPr>
      <w:r>
        <w:rPr>
          <w:lang w:val="en-US"/>
        </w:rPr>
        <w:t>2</w:t>
      </w:r>
      <w:r>
        <w:rPr>
          <w:lang w:val="en-US"/>
        </w:rPr>
        <w:tab/>
        <w:t xml:space="preserve">General views </w:t>
      </w:r>
    </w:p>
    <w:p w14:paraId="6B747336" w14:textId="1D432261" w:rsidR="005E634B" w:rsidRDefault="009C6C59">
      <w:pPr>
        <w:spacing w:after="120"/>
        <w:jc w:val="both"/>
        <w:rPr>
          <w:lang w:eastAsia="zh-CN"/>
        </w:rPr>
      </w:pPr>
      <w:r>
        <w:rPr>
          <w:lang w:eastAsia="zh-CN"/>
        </w:rPr>
        <w:t xml:space="preserve">For PSCCH, </w:t>
      </w:r>
      <w:r w:rsidR="008F6B86">
        <w:rPr>
          <w:lang w:eastAsia="zh-CN"/>
        </w:rPr>
        <w:t xml:space="preserve">a </w:t>
      </w:r>
      <w:r>
        <w:rPr>
          <w:lang w:eastAsia="zh-CN"/>
        </w:rPr>
        <w:t xml:space="preserve">transparent transmit diversity scheme shall be used due to the requirement that it can be decoded by the legacy Rel-14 UEs. A straightforward transparent transmit diversity scheme is small-delay CDD (SD-CDD), where the transmit signal, including data signals and DMRS, on transmit antenna 2 is cyclically delayed over the signal on transmit antenna 1 with the cyclic delay within CP duration. The potential problem of this scheme is that since the cyclic delay is generally rather small (fraction of CP), the transmit diversity over the small transmission bandwidth of 2PRB for PSCCH may be quite limited. </w:t>
      </w:r>
    </w:p>
    <w:p w14:paraId="6D74BD2D" w14:textId="338A9810" w:rsidR="005E634B" w:rsidRDefault="009C6C59">
      <w:pPr>
        <w:spacing w:after="120"/>
        <w:jc w:val="both"/>
        <w:rPr>
          <w:lang w:eastAsia="zh-CN"/>
        </w:rPr>
      </w:pPr>
      <w:r>
        <w:rPr>
          <w:lang w:eastAsia="zh-CN"/>
        </w:rPr>
        <w:t xml:space="preserve">For PSSCH, transparent or non-transparent transmit diversity scheme could be used to improve the link performance with the requirement that PSSCH could be undecodable by Rel-14 UE but PSSCH-RSRP measurement shall be allowable to enable sensing operations for resource (re)selection in mode 4. For the non-transparent transmit diversity schemes, the legacy DMRS design may be updated to enable channel estimation for two transmit antenna ports taking the potential impact on PSSCH-RSRP into account. This paper mainly focuses on the potential transmit diversity schemes for PSSCH and associated DMRS design considerations.  </w:t>
      </w:r>
    </w:p>
    <w:p w14:paraId="328A4A2E" w14:textId="77777777" w:rsidR="005E634B" w:rsidRDefault="009C6C59">
      <w:pPr>
        <w:pStyle w:val="Heading1"/>
        <w:rPr>
          <w:lang w:val="en-US" w:eastAsia="zh-CN"/>
        </w:rPr>
      </w:pPr>
      <w:r>
        <w:rPr>
          <w:lang w:val="en-US"/>
        </w:rPr>
        <w:lastRenderedPageBreak/>
        <w:t>3</w:t>
      </w:r>
      <w:r>
        <w:rPr>
          <w:lang w:val="en-US"/>
        </w:rPr>
        <w:tab/>
      </w:r>
      <w:r>
        <w:rPr>
          <w:lang w:val="en-US" w:eastAsia="zh-CN"/>
        </w:rPr>
        <w:t>Potential transmit diversity schemes for PSSCH</w:t>
      </w:r>
    </w:p>
    <w:p w14:paraId="7E4C90A9" w14:textId="77777777" w:rsidR="005E634B" w:rsidRDefault="009C6C59">
      <w:pPr>
        <w:pStyle w:val="Heading2"/>
        <w:rPr>
          <w:lang w:val="en-US" w:eastAsia="zh-CN"/>
        </w:rPr>
      </w:pPr>
      <w:r>
        <w:rPr>
          <w:lang w:val="en-US" w:eastAsia="zh-CN"/>
        </w:rPr>
        <w:t>3.1 Potential transmit diversity schemes</w:t>
      </w:r>
    </w:p>
    <w:p w14:paraId="5A56AE4F" w14:textId="77777777" w:rsidR="005E634B" w:rsidRDefault="009C6C59">
      <w:pPr>
        <w:jc w:val="both"/>
        <w:rPr>
          <w:sz w:val="21"/>
          <w:szCs w:val="21"/>
          <w:lang w:val="en-US" w:eastAsia="zh-CN"/>
        </w:rPr>
      </w:pPr>
      <w:r>
        <w:rPr>
          <w:lang w:eastAsia="zh-CN"/>
        </w:rPr>
        <w:t xml:space="preserve">There are multiple possible candidate transmit diversity schemes for PSSCH as discussed in [3], including at least STBC/SFBC, PVS in time, SD-CDD and FSTD with dual-DFT-precoding. Considering the orphan symbol issue of STBC (and its sensitivity to high Doppler in high mobility) and channel estimation degradation of PVS-time in high mobility, the following transmit diversity schemes may be preferred as the major candidate transmit diversity techniques.  </w:t>
      </w:r>
    </w:p>
    <w:p w14:paraId="4A6A03E9" w14:textId="77777777" w:rsidR="005E634B" w:rsidRDefault="009C6C59">
      <w:pPr>
        <w:jc w:val="both"/>
        <w:rPr>
          <w:sz w:val="21"/>
          <w:szCs w:val="21"/>
          <w:u w:val="single"/>
          <w:lang w:val="en-US" w:eastAsia="zh-CN"/>
        </w:rPr>
      </w:pPr>
      <w:r>
        <w:rPr>
          <w:sz w:val="21"/>
          <w:szCs w:val="21"/>
          <w:u w:val="single"/>
          <w:lang w:val="en-US" w:eastAsia="zh-CN"/>
        </w:rPr>
        <w:t>SFBC</w:t>
      </w:r>
    </w:p>
    <w:p w14:paraId="6024DB1B" w14:textId="77777777" w:rsidR="005E634B" w:rsidRDefault="009C6C59">
      <w:pPr>
        <w:jc w:val="both"/>
        <w:rPr>
          <w:lang w:eastAsia="zh-CN"/>
        </w:rPr>
      </w:pPr>
      <w:r>
        <w:rPr>
          <w:lang w:eastAsia="zh-CN"/>
        </w:rPr>
        <w:t xml:space="preserve">SFBC is a common transmit diversity scheme which was adopted in LTE. The SFBC encoding is over two subcarriers, instead of over two time symbols in STBC. Thus it is robust to the high Doppler in high mobility scenarios. There exists different SFBC encoding and mapping ways depending on whether the two involved subcarriers are adjacent. However, for SFBC over non-adjacent subcarriers, the semi-static channel coefficients generally no longer hold in frequency selective channels, which makes the specific Alamouti coding little sense. Thus, we mainly focus on SFBC over adjacent subcarriers, as shown in Figure 1. </w:t>
      </w:r>
    </w:p>
    <w:p w14:paraId="00F6965F" w14:textId="56D64CF0" w:rsidR="005E634B" w:rsidRDefault="009C6C59">
      <w:pPr>
        <w:jc w:val="both"/>
        <w:rPr>
          <w:lang w:eastAsia="zh-CN"/>
        </w:rPr>
      </w:pPr>
      <w:r>
        <w:rPr>
          <w:lang w:eastAsia="zh-CN"/>
        </w:rPr>
        <w:t>From the SFBC mapping shown in Figure 1, we can observe that the transmit antenna port 1 signal ideally keeps the single carrier property as SC-FDMA, while the antenna port 2 signal doesn’t maintain the strict single carrier property of SC-FDMA, thus its PAPR/CM may increase to some extent. Analysis and evaluations (described in next subsection) show that the PAPR/CM increase is quite limited (only about 0.7dB/0.5 dB increase observed for QPSK/16QAM)</w:t>
      </w:r>
      <w:r w:rsidR="00851BB3">
        <w:rPr>
          <w:lang w:eastAsia="zh-CN"/>
        </w:rPr>
        <w:t>, which may not be a serious issue (e.g. through transparent une</w:t>
      </w:r>
      <w:r w:rsidR="00DA7FE1">
        <w:rPr>
          <w:lang w:eastAsia="zh-CN"/>
        </w:rPr>
        <w:t>qual power scaling for two ports to match the power rating of the two PAs</w:t>
      </w:r>
      <w:r w:rsidR="00851BB3">
        <w:rPr>
          <w:lang w:eastAsia="zh-CN"/>
        </w:rPr>
        <w:t>)</w:t>
      </w:r>
      <w:r>
        <w:rPr>
          <w:lang w:eastAsia="zh-CN"/>
        </w:rPr>
        <w:t xml:space="preserve">. </w:t>
      </w:r>
    </w:p>
    <w:p w14:paraId="0EF35BC9" w14:textId="77777777" w:rsidR="005E634B" w:rsidRDefault="009C6C59">
      <w:pPr>
        <w:jc w:val="both"/>
        <w:rPr>
          <w:lang w:eastAsia="zh-CN"/>
        </w:rPr>
      </w:pPr>
      <w:r>
        <w:rPr>
          <w:lang w:eastAsia="zh-CN"/>
        </w:rPr>
        <w:t>For SFBC scheme, channel estimation for two antenna ports shall have to be made. Thus the DMRS design in Rel-14 may have to be updated, which is discussed in next section in details.</w:t>
      </w:r>
    </w:p>
    <w:p w14:paraId="2914D403" w14:textId="65666F96" w:rsidR="005E634B" w:rsidRDefault="008B3D34">
      <w:pPr>
        <w:jc w:val="center"/>
      </w:pPr>
      <w:r w:rsidRPr="008B3D34">
        <w:rPr>
          <w:noProof/>
          <w:lang w:val="en-US" w:eastAsia="zh-CN"/>
        </w:rPr>
        <w:t xml:space="preserve"> </w:t>
      </w:r>
      <w:r>
        <w:rPr>
          <w:noProof/>
          <w:lang w:val="en-US" w:eastAsia="zh-CN"/>
        </w:rPr>
        <w:drawing>
          <wp:inline distT="0" distB="0" distL="0" distR="0" wp14:anchorId="20A8153F" wp14:editId="3F86FE08">
            <wp:extent cx="4591050" cy="133540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614074" cy="1342102"/>
                    </a:xfrm>
                    <a:prstGeom prst="rect">
                      <a:avLst/>
                    </a:prstGeom>
                  </pic:spPr>
                </pic:pic>
              </a:graphicData>
            </a:graphic>
          </wp:inline>
        </w:drawing>
      </w:r>
    </w:p>
    <w:p w14:paraId="1F163997" w14:textId="77777777" w:rsidR="005E634B" w:rsidRDefault="009C6C59">
      <w:pPr>
        <w:jc w:val="center"/>
      </w:pPr>
      <w:r>
        <w:rPr>
          <w:lang w:eastAsia="zh-CN"/>
        </w:rPr>
        <w:t>Figure 1: Illustration of SFBC coding over adjacent subcarriers</w:t>
      </w:r>
    </w:p>
    <w:p w14:paraId="32AC246B" w14:textId="77777777" w:rsidR="005E634B" w:rsidRDefault="005E634B">
      <w:pPr>
        <w:rPr>
          <w:lang w:val="en-US" w:eastAsia="zh-CN"/>
        </w:rPr>
      </w:pPr>
    </w:p>
    <w:p w14:paraId="10FDF4CD" w14:textId="77777777" w:rsidR="005E634B" w:rsidRDefault="009C6C59">
      <w:pPr>
        <w:jc w:val="both"/>
        <w:rPr>
          <w:u w:val="single"/>
          <w:lang w:val="en-US" w:eastAsia="zh-CN"/>
        </w:rPr>
      </w:pPr>
      <w:r>
        <w:rPr>
          <w:u w:val="single"/>
          <w:lang w:val="en-US" w:eastAsia="zh-CN"/>
        </w:rPr>
        <w:t>Small-delay CDD</w:t>
      </w:r>
    </w:p>
    <w:p w14:paraId="79A52915" w14:textId="77777777" w:rsidR="005E634B" w:rsidRDefault="009C6C59">
      <w:pPr>
        <w:jc w:val="both"/>
        <w:rPr>
          <w:lang w:val="en-US" w:eastAsia="zh-CN"/>
        </w:rPr>
      </w:pPr>
      <w:r>
        <w:rPr>
          <w:lang w:val="en-US" w:eastAsia="zh-CN"/>
        </w:rPr>
        <w:t xml:space="preserve">CDD is implemented by introducing cyclic delay on the second transmit antenna, which is equivalent to creating an artificial multipath from the second transmit antenna. Thus, some diversity gains could be achieved over the used frequency resource. In order to make the CDD transmission transparent to the legacy Rel-14 receivers, the cyclic delay for the second antenna signal is generally limited to fractional CP duration. In this case, the DMRS for PSSCH in Rel-14 LTE can be directly reused. </w:t>
      </w:r>
    </w:p>
    <w:p w14:paraId="5026138F" w14:textId="77777777" w:rsidR="005E634B" w:rsidRDefault="009C6C59">
      <w:pPr>
        <w:jc w:val="both"/>
        <w:rPr>
          <w:lang w:val="en-US" w:eastAsia="zh-CN"/>
        </w:rPr>
      </w:pPr>
      <w:r>
        <w:rPr>
          <w:lang w:val="en-US" w:eastAsia="zh-CN"/>
        </w:rPr>
        <w:t xml:space="preserve">Thus one benefit of SD-CDD is the backward compatibility with existing Rel-14 specification and little or even no effort is needed for specification update. However, the achievable transmit diversity gains may be quite limited, especially when the transmission bandwidth is small. </w:t>
      </w:r>
    </w:p>
    <w:p w14:paraId="5FC94005" w14:textId="77777777" w:rsidR="005E634B" w:rsidRDefault="005E634B">
      <w:pPr>
        <w:jc w:val="both"/>
        <w:rPr>
          <w:lang w:val="en-US" w:eastAsia="zh-CN"/>
        </w:rPr>
      </w:pPr>
    </w:p>
    <w:p w14:paraId="46A9EF4F" w14:textId="77777777" w:rsidR="005E634B" w:rsidRDefault="009C6C59">
      <w:pPr>
        <w:jc w:val="both"/>
        <w:rPr>
          <w:u w:val="single"/>
          <w:lang w:val="en-US" w:eastAsia="zh-CN"/>
        </w:rPr>
      </w:pPr>
      <w:r>
        <w:rPr>
          <w:u w:val="single"/>
          <w:lang w:val="en-US" w:eastAsia="zh-CN"/>
        </w:rPr>
        <w:t>FSTD with dual DFT-precoding (or called Comb-Data diversity)</w:t>
      </w:r>
    </w:p>
    <w:p w14:paraId="004E8E55" w14:textId="69D7F496" w:rsidR="005E634B" w:rsidRDefault="00F93C10">
      <w:pPr>
        <w:jc w:val="both"/>
        <w:rPr>
          <w:lang w:val="en-US" w:eastAsia="zh-CN"/>
        </w:rPr>
      </w:pPr>
      <w:r>
        <w:rPr>
          <w:lang w:val="en-US" w:eastAsia="zh-CN"/>
        </w:rPr>
        <w:t xml:space="preserve">In addition to </w:t>
      </w:r>
      <w:r w:rsidR="009C6C59">
        <w:rPr>
          <w:lang w:val="en-US" w:eastAsia="zh-CN"/>
        </w:rPr>
        <w:t xml:space="preserve">the above transmit diversity schemes, another transmit diversity scheme frequency-switching transmit diversity (FSTD) with dual DFT-precoding could also be considered for PSSCH, as shown in Figure 2. The data symbol vector with size M </w:t>
      </w:r>
      <w:r w:rsidR="00AB32C9">
        <w:rPr>
          <w:lang w:val="en-US" w:eastAsia="zh-CN"/>
        </w:rPr>
        <w:t>is</w:t>
      </w:r>
      <w:r w:rsidR="009C6C59">
        <w:rPr>
          <w:lang w:val="en-US" w:eastAsia="zh-CN"/>
        </w:rPr>
        <w:t xml:space="preserve"> divided into two parts, and each part goes through M/2-point DFT-precoding and then, the DFT-precoding output of first part is mapped to the even-numbered subcarriers of transmit antenna port 1 while the second </w:t>
      </w:r>
      <w:r w:rsidR="009C6C59">
        <w:rPr>
          <w:lang w:val="en-US" w:eastAsia="zh-CN"/>
        </w:rPr>
        <w:lastRenderedPageBreak/>
        <w:t xml:space="preserve">part is mapped to the odd-numbered subcarriers of transmit antenna port 2. Due to the specific symbol mapping to the two antenna ports, here it is also called comb-data diversity. </w:t>
      </w:r>
    </w:p>
    <w:p w14:paraId="60B7042E" w14:textId="77777777" w:rsidR="005E634B" w:rsidRDefault="009C6C59">
      <w:pPr>
        <w:jc w:val="both"/>
        <w:rPr>
          <w:lang w:val="en-US" w:eastAsia="zh-CN"/>
        </w:rPr>
      </w:pPr>
      <w:r>
        <w:rPr>
          <w:lang w:val="en-US" w:eastAsia="zh-CN"/>
        </w:rPr>
        <w:t xml:space="preserve">The comb-data diversity has similar property as SD-CDD in the sense that it could be regarded as one single data stream in the receiver view if the comb-DMRS is used together with it (described in next section). The difference lies in the equivalent channel constitution. In detail, in SD-CDD the equivalent channel is the artificially formed multipath from the CDD operations while in comb-data diversity, the equivalent channel is the interleaved channels from two antennas (i.e., channels on even/odd-numbered subcarriers come from antenna 1/2 respectively). This property may benefit interference suppression/cancellation for the receivers with advanced receiving algorithm. Additionally, owing to the alternative mapping to two antennas, the achievable diversity gain of comb-data diversity may be larger than that of SD-CDD. </w:t>
      </w:r>
    </w:p>
    <w:p w14:paraId="6828467B" w14:textId="14515264" w:rsidR="005E634B" w:rsidRDefault="008B3D34">
      <w:pPr>
        <w:jc w:val="center"/>
      </w:pPr>
      <w:r>
        <w:rPr>
          <w:noProof/>
          <w:lang w:val="en-US" w:eastAsia="zh-CN"/>
        </w:rPr>
        <w:drawing>
          <wp:inline distT="0" distB="0" distL="0" distR="0" wp14:anchorId="4EC26588" wp14:editId="38A98255">
            <wp:extent cx="4127500" cy="1913410"/>
            <wp:effectExtent l="0" t="0" r="635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143742" cy="1920940"/>
                    </a:xfrm>
                    <a:prstGeom prst="rect">
                      <a:avLst/>
                    </a:prstGeom>
                  </pic:spPr>
                </pic:pic>
              </a:graphicData>
            </a:graphic>
          </wp:inline>
        </w:drawing>
      </w:r>
    </w:p>
    <w:p w14:paraId="6C24C8E1" w14:textId="77777777" w:rsidR="005E634B" w:rsidRDefault="009C6C59">
      <w:pPr>
        <w:jc w:val="center"/>
        <w:rPr>
          <w:lang w:eastAsia="zh-CN"/>
        </w:rPr>
      </w:pPr>
      <w:r>
        <w:t>F</w:t>
      </w:r>
      <w:r>
        <w:rPr>
          <w:lang w:eastAsia="zh-CN"/>
        </w:rPr>
        <w:t>igure 2: Illustration of processing for Comb-Data diversity</w:t>
      </w:r>
    </w:p>
    <w:p w14:paraId="5A3B44AA" w14:textId="77777777" w:rsidR="005E634B" w:rsidRDefault="005E634B">
      <w:pPr>
        <w:jc w:val="both"/>
        <w:rPr>
          <w:lang w:val="en-US" w:eastAsia="zh-CN"/>
        </w:rPr>
      </w:pPr>
    </w:p>
    <w:p w14:paraId="2EC62160" w14:textId="77777777" w:rsidR="005E634B" w:rsidRDefault="009C6C59">
      <w:pPr>
        <w:pStyle w:val="Heading2"/>
        <w:rPr>
          <w:lang w:val="en-US" w:eastAsia="zh-CN"/>
        </w:rPr>
      </w:pPr>
      <w:r>
        <w:rPr>
          <w:lang w:val="en-US" w:eastAsia="zh-CN"/>
        </w:rPr>
        <w:t>3.2 PAPR/CM analysis</w:t>
      </w:r>
    </w:p>
    <w:p w14:paraId="01FB1DC5" w14:textId="7F23D2F4" w:rsidR="005E634B" w:rsidRDefault="009C6C59">
      <w:pPr>
        <w:jc w:val="both"/>
        <w:rPr>
          <w:lang w:val="en-US" w:eastAsia="zh-CN"/>
        </w:rPr>
      </w:pPr>
      <w:r>
        <w:rPr>
          <w:lang w:val="en-US" w:eastAsia="zh-CN"/>
        </w:rPr>
        <w:t xml:space="preserve">A technical concern of the transmit diversity schemes is the PAPR/CM of the transmit signals. In this section, some numerical results are presented about the PAPR/CM of the transmit diversity schemes discussed above. The PAPR/CM of SFBC, SD-CDD and Comb-Data diversity for modulation of QPSK and 16QAM are shown in Figure 3 and Figure 4 respectively, together with the single antenna SC-FDMA for comparison. In the numerical results, it is assumed that </w:t>
      </w:r>
      <w:r w:rsidR="00AC1DC2">
        <w:rPr>
          <w:lang w:val="en-US" w:eastAsia="zh-CN"/>
        </w:rPr>
        <w:t xml:space="preserve">FFT size of the carrier </w:t>
      </w:r>
      <w:r>
        <w:rPr>
          <w:lang w:val="en-US" w:eastAsia="zh-CN"/>
        </w:rPr>
        <w:t xml:space="preserve">N=1024 and </w:t>
      </w:r>
      <w:r w:rsidR="007B3DCD">
        <w:rPr>
          <w:lang w:val="en-US" w:eastAsia="zh-CN"/>
        </w:rPr>
        <w:t xml:space="preserve">number of subcarriers </w:t>
      </w:r>
      <w:r>
        <w:rPr>
          <w:lang w:val="en-US" w:eastAsia="zh-CN"/>
        </w:rPr>
        <w:t xml:space="preserve">M=240 (i.e. 20 PRBs). </w:t>
      </w:r>
    </w:p>
    <w:p w14:paraId="19B1C365" w14:textId="77777777" w:rsidR="005E634B" w:rsidRDefault="009C6C59">
      <w:pPr>
        <w:rPr>
          <w:lang w:val="en-US" w:eastAsia="zh-CN"/>
        </w:rPr>
      </w:pPr>
      <w:r>
        <w:rPr>
          <w:lang w:val="en-US" w:eastAsia="zh-CN"/>
        </w:rPr>
        <w:t>From the PAPR/CM results, we can get the following observations:</w:t>
      </w:r>
    </w:p>
    <w:p w14:paraId="53A1AF57" w14:textId="77777777" w:rsidR="005E634B" w:rsidRDefault="009C6C59">
      <w:pPr>
        <w:rPr>
          <w:sz w:val="21"/>
          <w:szCs w:val="21"/>
          <w:lang w:val="en-US" w:eastAsia="zh-CN"/>
        </w:rPr>
      </w:pPr>
      <w:r>
        <w:rPr>
          <w:b/>
          <w:lang w:val="en-US" w:eastAsia="zh-CN"/>
        </w:rPr>
        <w:t>Observation-1</w:t>
      </w:r>
      <w:r>
        <w:rPr>
          <w:lang w:val="en-US" w:eastAsia="zh-CN"/>
        </w:rPr>
        <w:t xml:space="preserve">: For SFBC, antenna 1 signal has same PAPR/CM as SC-FDMA while antenna 2 PAPR/CM slightly increases by about 0.7dB/0.5dB for QPSK/16QAM. </w:t>
      </w:r>
    </w:p>
    <w:p w14:paraId="7CD08F8B" w14:textId="77777777" w:rsidR="005E634B" w:rsidRDefault="009C6C59">
      <w:pPr>
        <w:rPr>
          <w:sz w:val="21"/>
          <w:szCs w:val="21"/>
          <w:lang w:val="en-US" w:eastAsia="zh-CN"/>
        </w:rPr>
      </w:pPr>
      <w:r>
        <w:rPr>
          <w:b/>
          <w:lang w:val="en-US" w:eastAsia="zh-CN"/>
        </w:rPr>
        <w:t>Observation-2</w:t>
      </w:r>
      <w:r>
        <w:rPr>
          <w:lang w:val="en-US" w:eastAsia="zh-CN"/>
        </w:rPr>
        <w:t xml:space="preserve">: Compared with single antenna SC-FDMA, Comb-Data diversity has lower PAPRs and close CMs and SD-CDD has same PAPRs/CMs on both antennas. </w:t>
      </w:r>
    </w:p>
    <w:p w14:paraId="681FB9C2" w14:textId="77777777" w:rsidR="005E634B" w:rsidRDefault="005E634B">
      <w:pPr>
        <w:jc w:val="both"/>
        <w:rPr>
          <w:b/>
          <w:lang w:val="en-US" w:eastAsia="zh-CN"/>
        </w:rPr>
      </w:pPr>
    </w:p>
    <w:p w14:paraId="242647D5" w14:textId="77777777" w:rsidR="005E634B" w:rsidRDefault="009C6C59">
      <w:pPr>
        <w:jc w:val="center"/>
        <w:rPr>
          <w:b/>
          <w:lang w:val="en-US" w:eastAsia="zh-CN"/>
        </w:rPr>
      </w:pPr>
      <w:r>
        <w:rPr>
          <w:noProof/>
          <w:lang w:val="en-US" w:eastAsia="zh-CN"/>
        </w:rPr>
        <w:drawing>
          <wp:inline distT="0" distB="0" distL="0" distR="0" wp14:anchorId="32047366" wp14:editId="6FCBE732">
            <wp:extent cx="2987040" cy="2238375"/>
            <wp:effectExtent l="0" t="0" r="0" b="0"/>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3"/>
                    <pic:cNvPicPr>
                      <a:picLocks noChangeAspect="1" noChangeArrowheads="1"/>
                    </pic:cNvPicPr>
                  </pic:nvPicPr>
                  <pic:blipFill>
                    <a:blip r:embed="rId10"/>
                    <a:stretch>
                      <a:fillRect/>
                    </a:stretch>
                  </pic:blipFill>
                  <pic:spPr bwMode="auto">
                    <a:xfrm>
                      <a:off x="0" y="0"/>
                      <a:ext cx="2987040" cy="2238375"/>
                    </a:xfrm>
                    <a:prstGeom prst="rect">
                      <a:avLst/>
                    </a:prstGeom>
                  </pic:spPr>
                </pic:pic>
              </a:graphicData>
            </a:graphic>
          </wp:inline>
        </w:drawing>
      </w:r>
      <w:r>
        <w:rPr>
          <w:noProof/>
          <w:lang w:val="en-US" w:eastAsia="zh-CN"/>
        </w:rPr>
        <w:drawing>
          <wp:inline distT="0" distB="0" distL="0" distR="0" wp14:anchorId="7C714C84" wp14:editId="21915EC3">
            <wp:extent cx="3004185" cy="2251075"/>
            <wp:effectExtent l="0" t="0" r="0" b="0"/>
            <wp:docPr id="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4"/>
                    <pic:cNvPicPr>
                      <a:picLocks noChangeAspect="1" noChangeArrowheads="1"/>
                    </pic:cNvPicPr>
                  </pic:nvPicPr>
                  <pic:blipFill>
                    <a:blip r:embed="rId11"/>
                    <a:stretch>
                      <a:fillRect/>
                    </a:stretch>
                  </pic:blipFill>
                  <pic:spPr bwMode="auto">
                    <a:xfrm>
                      <a:off x="0" y="0"/>
                      <a:ext cx="3004185" cy="2251075"/>
                    </a:xfrm>
                    <a:prstGeom prst="rect">
                      <a:avLst/>
                    </a:prstGeom>
                  </pic:spPr>
                </pic:pic>
              </a:graphicData>
            </a:graphic>
          </wp:inline>
        </w:drawing>
      </w:r>
    </w:p>
    <w:p w14:paraId="6B9E6F9F" w14:textId="77777777" w:rsidR="005E634B" w:rsidRDefault="009C6C59">
      <w:pPr>
        <w:jc w:val="center"/>
        <w:rPr>
          <w:lang w:val="en-US" w:eastAsia="zh-CN"/>
        </w:rPr>
      </w:pPr>
      <w:r>
        <w:rPr>
          <w:lang w:val="en-US" w:eastAsia="zh-CN"/>
        </w:rPr>
        <w:lastRenderedPageBreak/>
        <w:t>Figure 3: CDF of CM and PAPR for QPSK</w:t>
      </w:r>
    </w:p>
    <w:p w14:paraId="382D1E46" w14:textId="77777777" w:rsidR="005E634B" w:rsidRDefault="009C6C59">
      <w:pPr>
        <w:jc w:val="center"/>
        <w:rPr>
          <w:lang w:val="en-US" w:eastAsia="zh-CN"/>
        </w:rPr>
      </w:pPr>
      <w:r>
        <w:rPr>
          <w:noProof/>
          <w:lang w:val="en-US" w:eastAsia="zh-CN"/>
        </w:rPr>
        <w:drawing>
          <wp:inline distT="0" distB="0" distL="0" distR="0" wp14:anchorId="60ED2D96" wp14:editId="05FAD007">
            <wp:extent cx="2931795" cy="2196465"/>
            <wp:effectExtent l="0" t="0" r="0" b="0"/>
            <wp:docPr id="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7"/>
                    <pic:cNvPicPr>
                      <a:picLocks noChangeAspect="1" noChangeArrowheads="1"/>
                    </pic:cNvPicPr>
                  </pic:nvPicPr>
                  <pic:blipFill>
                    <a:blip r:embed="rId12"/>
                    <a:stretch>
                      <a:fillRect/>
                    </a:stretch>
                  </pic:blipFill>
                  <pic:spPr bwMode="auto">
                    <a:xfrm>
                      <a:off x="0" y="0"/>
                      <a:ext cx="2931795" cy="2196465"/>
                    </a:xfrm>
                    <a:prstGeom prst="rect">
                      <a:avLst/>
                    </a:prstGeom>
                  </pic:spPr>
                </pic:pic>
              </a:graphicData>
            </a:graphic>
          </wp:inline>
        </w:drawing>
      </w:r>
      <w:r>
        <w:rPr>
          <w:noProof/>
          <w:lang w:val="en-US" w:eastAsia="zh-CN"/>
        </w:rPr>
        <w:drawing>
          <wp:inline distT="0" distB="0" distL="0" distR="0" wp14:anchorId="020B4BAD" wp14:editId="0662E8FE">
            <wp:extent cx="2940685" cy="2203450"/>
            <wp:effectExtent l="0" t="0" r="0" b="0"/>
            <wp:docPr id="4"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8"/>
                    <pic:cNvPicPr>
                      <a:picLocks noChangeAspect="1" noChangeArrowheads="1"/>
                    </pic:cNvPicPr>
                  </pic:nvPicPr>
                  <pic:blipFill>
                    <a:blip r:embed="rId13"/>
                    <a:stretch>
                      <a:fillRect/>
                    </a:stretch>
                  </pic:blipFill>
                  <pic:spPr bwMode="auto">
                    <a:xfrm>
                      <a:off x="0" y="0"/>
                      <a:ext cx="2940685" cy="2203450"/>
                    </a:xfrm>
                    <a:prstGeom prst="rect">
                      <a:avLst/>
                    </a:prstGeom>
                  </pic:spPr>
                </pic:pic>
              </a:graphicData>
            </a:graphic>
          </wp:inline>
        </w:drawing>
      </w:r>
      <w:r>
        <w:rPr>
          <w:b/>
          <w:lang w:val="en-US" w:eastAsia="zh-CN"/>
        </w:rPr>
        <w:t xml:space="preserve"> </w:t>
      </w:r>
    </w:p>
    <w:p w14:paraId="35EF327B" w14:textId="77777777" w:rsidR="005E634B" w:rsidRDefault="009C6C59">
      <w:pPr>
        <w:jc w:val="center"/>
        <w:rPr>
          <w:lang w:val="en-US" w:eastAsia="zh-CN"/>
        </w:rPr>
      </w:pPr>
      <w:r>
        <w:rPr>
          <w:lang w:val="en-US" w:eastAsia="zh-CN"/>
        </w:rPr>
        <w:t>Figure 5: CDF of CM and PAPR for 16QAM</w:t>
      </w:r>
    </w:p>
    <w:p w14:paraId="3470645D" w14:textId="77777777" w:rsidR="005E634B" w:rsidRDefault="005E634B">
      <w:pPr>
        <w:rPr>
          <w:lang w:val="en-US" w:eastAsia="zh-CN"/>
        </w:rPr>
      </w:pPr>
    </w:p>
    <w:p w14:paraId="56C708CB" w14:textId="77777777" w:rsidR="005E634B" w:rsidRDefault="009C6C59">
      <w:pPr>
        <w:rPr>
          <w:lang w:val="en-US" w:eastAsia="zh-CN"/>
        </w:rPr>
      </w:pPr>
      <w:r>
        <w:rPr>
          <w:lang w:val="en-US" w:eastAsia="zh-CN"/>
        </w:rPr>
        <w:t xml:space="preserve">Note: in Figure 4 and 5 the additional offset in CM is not included. </w:t>
      </w:r>
    </w:p>
    <w:p w14:paraId="2CA938C0" w14:textId="77777777" w:rsidR="005E634B" w:rsidRDefault="005E634B">
      <w:pPr>
        <w:rPr>
          <w:lang w:val="en-US" w:eastAsia="zh-CN"/>
        </w:rPr>
      </w:pPr>
    </w:p>
    <w:p w14:paraId="72F2F1E4" w14:textId="77777777" w:rsidR="005E634B" w:rsidRDefault="009C6C59">
      <w:pPr>
        <w:pStyle w:val="Heading1"/>
        <w:rPr>
          <w:lang w:val="en-US" w:eastAsia="zh-CN"/>
        </w:rPr>
      </w:pPr>
      <w:r>
        <w:rPr>
          <w:lang w:val="en-US" w:eastAsia="zh-CN"/>
        </w:rPr>
        <w:t>4</w:t>
      </w:r>
      <w:r>
        <w:rPr>
          <w:lang w:val="en-US"/>
        </w:rPr>
        <w:tab/>
      </w:r>
      <w:r>
        <w:rPr>
          <w:lang w:val="en-US" w:eastAsia="zh-CN"/>
        </w:rPr>
        <w:t>Considerations on DMRS</w:t>
      </w:r>
    </w:p>
    <w:p w14:paraId="6D36B75B" w14:textId="6BEA8654" w:rsidR="005E634B" w:rsidRDefault="009C6C59">
      <w:pPr>
        <w:jc w:val="both"/>
        <w:rPr>
          <w:lang w:val="en-US" w:eastAsia="zh-CN"/>
        </w:rPr>
      </w:pPr>
      <w:r>
        <w:rPr>
          <w:lang w:val="en-US" w:eastAsia="zh-CN"/>
        </w:rPr>
        <w:t>Ba</w:t>
      </w:r>
      <w:r w:rsidR="00851BB3">
        <w:rPr>
          <w:lang w:val="en-US" w:eastAsia="zh-CN"/>
        </w:rPr>
        <w:t>sed on the discussions on RAN1-</w:t>
      </w:r>
      <w:r w:rsidR="00851BB3">
        <w:rPr>
          <w:rFonts w:hint="eastAsia"/>
          <w:lang w:val="en-US" w:eastAsia="zh-CN"/>
        </w:rPr>
        <w:t>89</w:t>
      </w:r>
      <w:r>
        <w:rPr>
          <w:lang w:val="en-US" w:eastAsia="zh-CN"/>
        </w:rPr>
        <w:t xml:space="preserve"> there are generally two types of DMRS design for two antenna ports, one is based on Comb FDM and the other is based on CDM with cyclic shifting. </w:t>
      </w:r>
    </w:p>
    <w:p w14:paraId="6724FDE4" w14:textId="77777777" w:rsidR="005E634B" w:rsidRDefault="009C6C59">
      <w:pPr>
        <w:jc w:val="both"/>
        <w:rPr>
          <w:lang w:val="en-US" w:eastAsia="zh-CN"/>
        </w:rPr>
      </w:pPr>
      <w:r>
        <w:rPr>
          <w:lang w:val="en-US" w:eastAsia="zh-CN"/>
        </w:rPr>
        <w:t xml:space="preserve">In Comb FDM DMRS design, the Rel-14 PSSCH DMRS sequence is reused and the sequence elements are mapped alternatively to the subcarriers of the two transmit antenna ports, e.g., the DMRS sequence is mapped sequentially to the even-numbered subcarriers of antenna port 1 and odd-numbered subcarriers of antenna port 2. In the receiver view, the channels of the two antenna ports are interleaved to an equivalent single-port channel with higher frequency selectivity. Thus, one benefit of this design is that it has little or no negative impact on the PSSCH-RSRP measurements for legacy Rel-14 UEs, which is involved in the sensing-based resource selection. </w:t>
      </w:r>
    </w:p>
    <w:p w14:paraId="112CF9F5" w14:textId="77777777" w:rsidR="005E634B" w:rsidRDefault="009C6C59">
      <w:pPr>
        <w:jc w:val="both"/>
        <w:rPr>
          <w:lang w:val="en-US" w:eastAsia="zh-CN"/>
        </w:rPr>
      </w:pPr>
      <w:r>
        <w:rPr>
          <w:lang w:val="en-US" w:eastAsia="zh-CN"/>
        </w:rPr>
        <w:t xml:space="preserve">For the CDM DMRS design, the Rel-14 PSSCH DMRS sequence is used for antenna port 1 and the same sequence with additional cyclic shift (e.g., </w:t>
      </w:r>
      <m:oMath>
        <m:sSub>
          <m:sSubPr>
            <m:ctrlPr>
              <w:rPr>
                <w:rFonts w:ascii="Cambria Math" w:hAnsi="Cambria Math"/>
              </w:rPr>
            </m:ctrlPr>
          </m:sSubPr>
          <m:e>
            <m:r>
              <w:rPr>
                <w:rFonts w:ascii="Cambria Math" w:hAnsi="Cambria Math"/>
              </w:rPr>
              <m:t>α</m:t>
            </m:r>
          </m:e>
          <m:sub>
            <m:r>
              <w:rPr>
                <w:rFonts w:ascii="Cambria Math" w:hAnsi="Cambria Math"/>
              </w:rPr>
              <m:t>2</m:t>
            </m:r>
          </m:sub>
        </m:sSub>
        <m:r>
          <w:rPr>
            <w:rFonts w:ascii="Cambria Math" w:hAnsi="Cambria Math"/>
          </w:rPr>
          <m:t>=2</m:t>
        </m:r>
        <m:f>
          <m:fPr>
            <m:type m:val="lin"/>
            <m:ctrlPr>
              <w:rPr>
                <w:rFonts w:ascii="Cambria Math" w:hAnsi="Cambria Math"/>
              </w:rPr>
            </m:ctrlPr>
          </m:fPr>
          <m:num>
            <m:sSub>
              <m:sSubPr>
                <m:ctrlPr>
                  <w:rPr>
                    <w:rFonts w:ascii="Cambria Math" w:hAnsi="Cambria Math"/>
                  </w:rPr>
                </m:ctrlPr>
              </m:sSubPr>
              <m:e>
                <m:r>
                  <w:rPr>
                    <w:rFonts w:ascii="Cambria Math" w:hAnsi="Cambria Math"/>
                  </w:rPr>
                  <m:t>πn</m:t>
                </m:r>
              </m:e>
              <m:sub>
                <m:r>
                  <w:rPr>
                    <w:rFonts w:ascii="Cambria Math" w:hAnsi="Cambria Math"/>
                  </w:rPr>
                  <m:t>2</m:t>
                </m:r>
              </m:sub>
            </m:sSub>
          </m:num>
          <m:den>
            <m:r>
              <m:rPr>
                <m:lit/>
                <m:nor/>
              </m:rPr>
              <w:rPr>
                <w:rFonts w:ascii="Cambria Math" w:hAnsi="Cambria Math"/>
              </w:rPr>
              <m:t>12</m:t>
            </m:r>
          </m:den>
        </m:f>
      </m:oMath>
      <w:r>
        <w:rPr>
          <w:lang w:val="en-US" w:eastAsia="zh-CN"/>
        </w:rPr>
        <w:t xml:space="preserve"> with </w:t>
      </w:r>
      <w:r>
        <w:rPr>
          <w:i/>
          <w:lang w:val="en-US" w:eastAsia="zh-CN"/>
        </w:rPr>
        <w:t>n</w:t>
      </w:r>
      <w:r>
        <w:rPr>
          <w:vertAlign w:val="subscript"/>
          <w:lang w:val="en-US" w:eastAsia="zh-CN"/>
        </w:rPr>
        <w:t>2</w:t>
      </w:r>
      <w:r>
        <w:rPr>
          <w:lang w:val="en-US" w:eastAsia="zh-CN"/>
        </w:rPr>
        <w:t xml:space="preserve">=6) is used for antenna port 2. In this case, the two sequences are orthogonal to each other in CDM and the DMRS sequence of antenna port 1 is backward compatible to enable PSSCH-RSRP measurements by Rel-14 UEs. The potential issue with the CDM DMRS design is that under the assumption of same total transmit power, the measured PSSCH-RSRP by legacy UE is lower than the actual sum power of the two antenna ports, which may impact to some extent the sensing procedure of the legacy Rel-14 UEs although the resource ranking in the final sensing report is based on the S-RSSI measurements which seems not impacted actually. </w:t>
      </w:r>
    </w:p>
    <w:p w14:paraId="057DF596" w14:textId="77777777" w:rsidR="005E634B" w:rsidRDefault="005E634B">
      <w:pPr>
        <w:jc w:val="both"/>
        <w:rPr>
          <w:b/>
          <w:sz w:val="21"/>
          <w:szCs w:val="21"/>
          <w:lang w:val="en-US" w:eastAsia="zh-CN"/>
        </w:rPr>
      </w:pPr>
    </w:p>
    <w:p w14:paraId="4C433D34" w14:textId="2F7939E9" w:rsidR="005E634B" w:rsidRDefault="002D0767">
      <w:pPr>
        <w:jc w:val="both"/>
        <w:rPr>
          <w:lang w:val="en-US" w:eastAsia="zh-CN"/>
        </w:rPr>
      </w:pPr>
      <w:r>
        <w:rPr>
          <w:b/>
          <w:lang w:val="en-US" w:eastAsia="zh-CN"/>
        </w:rPr>
        <w:t>Observation 3</w:t>
      </w:r>
      <w:r w:rsidRPr="003E1583">
        <w:rPr>
          <w:lang w:val="en-US" w:eastAsia="zh-CN"/>
        </w:rPr>
        <w:t>:</w:t>
      </w:r>
      <w:r>
        <w:rPr>
          <w:lang w:val="en-US" w:eastAsia="zh-CN"/>
        </w:rPr>
        <w:t xml:space="preserve"> Both Comb FDM DMRS and CDM DMRS could be considered for two-antenna-port DMRS design. CDM DMRS scheme has potential impact to sensing operations of Rel-14 UE in PSSCH-RSRP measurements</w:t>
      </w:r>
      <w:r w:rsidR="009C6C59">
        <w:rPr>
          <w:lang w:val="en-US" w:eastAsia="zh-CN"/>
        </w:rPr>
        <w:t xml:space="preserve">. </w:t>
      </w:r>
    </w:p>
    <w:p w14:paraId="4A8FD931" w14:textId="77777777" w:rsidR="005E634B" w:rsidRDefault="005E634B">
      <w:pPr>
        <w:rPr>
          <w:lang w:val="en-US" w:eastAsia="zh-CN"/>
        </w:rPr>
      </w:pPr>
    </w:p>
    <w:p w14:paraId="0B8C1CD2" w14:textId="77777777" w:rsidR="005E634B" w:rsidRDefault="005E634B">
      <w:pPr>
        <w:rPr>
          <w:lang w:val="en-US" w:eastAsia="zh-CN"/>
        </w:rPr>
      </w:pPr>
    </w:p>
    <w:p w14:paraId="193A6CF9" w14:textId="77777777" w:rsidR="005E634B" w:rsidRDefault="009C6C59">
      <w:pPr>
        <w:pStyle w:val="Heading1"/>
        <w:rPr>
          <w:lang w:val="en-US" w:eastAsia="zh-CN"/>
        </w:rPr>
      </w:pPr>
      <w:r>
        <w:rPr>
          <w:lang w:val="en-US" w:eastAsia="zh-CN"/>
        </w:rPr>
        <w:t>5</w:t>
      </w:r>
      <w:r>
        <w:rPr>
          <w:lang w:val="en-US"/>
        </w:rPr>
        <w:tab/>
      </w:r>
      <w:r>
        <w:rPr>
          <w:lang w:val="en-US" w:eastAsia="zh-CN"/>
        </w:rPr>
        <w:t>Conclusion</w:t>
      </w:r>
    </w:p>
    <w:p w14:paraId="71734746" w14:textId="58AF676D" w:rsidR="005E634B" w:rsidRDefault="009C6C59">
      <w:pPr>
        <w:jc w:val="both"/>
        <w:rPr>
          <w:lang w:eastAsia="zh-CN"/>
        </w:rPr>
      </w:pPr>
      <w:r>
        <w:rPr>
          <w:lang w:val="en-US" w:eastAsia="zh-CN"/>
        </w:rPr>
        <w:t>In this paper, the transmit diversity schemes for V2X PC5 transmission are discussed, focusing on three potential candidate transmit diversity schemes SFBC, SD-CDD and Comb-Data diversity</w:t>
      </w:r>
      <w:r>
        <w:rPr>
          <w:lang w:eastAsia="zh-CN"/>
        </w:rPr>
        <w:t xml:space="preserve">. Based on the discussions, the following observations are provided. </w:t>
      </w:r>
    </w:p>
    <w:p w14:paraId="6E8238D2" w14:textId="77777777" w:rsidR="005E634B" w:rsidRDefault="009C6C59">
      <w:pPr>
        <w:rPr>
          <w:sz w:val="21"/>
          <w:szCs w:val="21"/>
          <w:lang w:val="en-US" w:eastAsia="zh-CN"/>
        </w:rPr>
      </w:pPr>
      <w:r>
        <w:rPr>
          <w:b/>
          <w:lang w:val="en-US" w:eastAsia="zh-CN"/>
        </w:rPr>
        <w:lastRenderedPageBreak/>
        <w:t>Observation-1</w:t>
      </w:r>
      <w:r>
        <w:rPr>
          <w:lang w:val="en-US" w:eastAsia="zh-CN"/>
        </w:rPr>
        <w:t xml:space="preserve">: For SFBC, antenna 1 signal has same PAPR/CM as SC-FDMA while antenna 2 PAPR/CM slightly increases by about 0.7dB/0.5dB for QPSK/16QAM. </w:t>
      </w:r>
    </w:p>
    <w:p w14:paraId="4093E737" w14:textId="5C1F9AE3" w:rsidR="005E634B" w:rsidRDefault="009C6C59" w:rsidP="00851BB3">
      <w:pPr>
        <w:rPr>
          <w:b/>
          <w:lang w:val="en-US" w:eastAsia="zh-CN"/>
        </w:rPr>
      </w:pPr>
      <w:r>
        <w:rPr>
          <w:b/>
          <w:lang w:val="en-US" w:eastAsia="zh-CN"/>
        </w:rPr>
        <w:t>Observation-2</w:t>
      </w:r>
      <w:r>
        <w:rPr>
          <w:lang w:val="en-US" w:eastAsia="zh-CN"/>
        </w:rPr>
        <w:t xml:space="preserve">: Compared with single antenna SC-FDMA, Comb-Data diversity has lower PAPRs and close CMs and SD-CDD has same PAPRs/CMs on both antennas. </w:t>
      </w:r>
    </w:p>
    <w:p w14:paraId="0519FBDB" w14:textId="718CA100" w:rsidR="005E634B" w:rsidRDefault="002D0767">
      <w:pPr>
        <w:jc w:val="both"/>
        <w:rPr>
          <w:lang w:val="en-US" w:eastAsia="zh-CN"/>
        </w:rPr>
      </w:pPr>
      <w:r>
        <w:rPr>
          <w:b/>
          <w:lang w:val="en-US" w:eastAsia="zh-CN"/>
        </w:rPr>
        <w:t>Observation 3</w:t>
      </w:r>
      <w:r w:rsidRPr="003E1583">
        <w:rPr>
          <w:lang w:val="en-US" w:eastAsia="zh-CN"/>
        </w:rPr>
        <w:t>:</w:t>
      </w:r>
      <w:r>
        <w:rPr>
          <w:lang w:val="en-US" w:eastAsia="zh-CN"/>
        </w:rPr>
        <w:t xml:space="preserve"> Both Comb FDM DMRS and CDM DMRS could be considered for two-antenna-port DMRS design. CDM DMRS scheme has potential impact to sensing operations of Rel-14 UE in PSSCH-RSRP measurements.</w:t>
      </w:r>
    </w:p>
    <w:p w14:paraId="50DFAFFD" w14:textId="77777777" w:rsidR="005E634B" w:rsidRDefault="009C6C59">
      <w:pPr>
        <w:jc w:val="both"/>
        <w:rPr>
          <w:lang w:val="en-US" w:eastAsia="zh-CN"/>
        </w:rPr>
      </w:pPr>
      <w:r>
        <w:rPr>
          <w:lang w:val="en-US" w:eastAsia="zh-CN"/>
        </w:rPr>
        <w:t xml:space="preserve"> </w:t>
      </w:r>
    </w:p>
    <w:p w14:paraId="306F55ED" w14:textId="77777777" w:rsidR="005E634B" w:rsidRDefault="009C6C59">
      <w:pPr>
        <w:pStyle w:val="Heading1"/>
      </w:pPr>
      <w:r>
        <w:t>References</w:t>
      </w:r>
    </w:p>
    <w:p w14:paraId="3A4036D8" w14:textId="77777777" w:rsidR="005E634B" w:rsidRDefault="009C6C59">
      <w:pPr>
        <w:numPr>
          <w:ilvl w:val="0"/>
          <w:numId w:val="1"/>
        </w:numPr>
        <w:textAlignment w:val="baseline"/>
      </w:pPr>
      <w:r>
        <w:rPr>
          <w:lang w:eastAsia="zh-CN"/>
        </w:rPr>
        <w:t>3GPP RP-170798, New WID on 3GPP V2X Phase 2, RAN#75, Dubrovnik, March 6 - 9, 2017.</w:t>
      </w:r>
    </w:p>
    <w:p w14:paraId="4C84DCD3" w14:textId="77777777" w:rsidR="005E634B" w:rsidRDefault="009C6C59">
      <w:pPr>
        <w:numPr>
          <w:ilvl w:val="0"/>
          <w:numId w:val="1"/>
        </w:numPr>
        <w:textAlignment w:val="baseline"/>
      </w:pPr>
      <w:r>
        <w:rPr>
          <w:lang w:eastAsia="zh-CN"/>
        </w:rPr>
        <w:t>RAN1#89 chairman notes.</w:t>
      </w:r>
    </w:p>
    <w:p w14:paraId="20187B1F" w14:textId="7771D541" w:rsidR="005E634B" w:rsidRDefault="009C6C59">
      <w:pPr>
        <w:numPr>
          <w:ilvl w:val="0"/>
          <w:numId w:val="1"/>
        </w:numPr>
        <w:textAlignment w:val="baseline"/>
      </w:pPr>
      <w:r>
        <w:rPr>
          <w:lang w:eastAsia="zh-CN"/>
        </w:rPr>
        <w:t xml:space="preserve">R1-1708558, </w:t>
      </w:r>
      <w:r w:rsidR="00110139">
        <w:rPr>
          <w:lang w:eastAsia="zh-CN"/>
        </w:rPr>
        <w:t>“</w:t>
      </w:r>
      <w:r>
        <w:rPr>
          <w:lang w:eastAsia="zh-CN"/>
        </w:rPr>
        <w:t>Transmit diversity schemes for V2X PC5</w:t>
      </w:r>
      <w:r w:rsidR="00110139">
        <w:rPr>
          <w:lang w:eastAsia="zh-CN"/>
        </w:rPr>
        <w:t>”</w:t>
      </w:r>
      <w:r>
        <w:rPr>
          <w:lang w:eastAsia="zh-CN"/>
        </w:rPr>
        <w:t>, RAN1-89.</w:t>
      </w:r>
    </w:p>
    <w:p w14:paraId="66382063" w14:textId="457166FF" w:rsidR="005E634B" w:rsidRDefault="009C6C59">
      <w:pPr>
        <w:numPr>
          <w:ilvl w:val="0"/>
          <w:numId w:val="1"/>
        </w:numPr>
        <w:textAlignment w:val="baseline"/>
      </w:pPr>
      <w:r>
        <w:t>R1-17</w:t>
      </w:r>
      <w:r w:rsidR="00110139">
        <w:t>13995</w:t>
      </w:r>
      <w:r>
        <w:rPr>
          <w:lang w:eastAsia="zh-CN"/>
        </w:rPr>
        <w:t xml:space="preserve">, </w:t>
      </w:r>
      <w:r w:rsidR="00110139">
        <w:rPr>
          <w:lang w:eastAsia="zh-CN"/>
        </w:rPr>
        <w:t>“</w:t>
      </w:r>
      <w:r w:rsidR="00110139">
        <w:t>Evaluations of transmit diversity schemes for V2X PC5”</w:t>
      </w:r>
      <w:r>
        <w:rPr>
          <w:lang w:eastAsia="zh-CN"/>
        </w:rPr>
        <w:t>, RAN1-90.</w:t>
      </w:r>
    </w:p>
    <w:p w14:paraId="123F64C9" w14:textId="47F3DAF8" w:rsidR="005E634B" w:rsidRDefault="009C6C59">
      <w:pPr>
        <w:numPr>
          <w:ilvl w:val="0"/>
          <w:numId w:val="1"/>
        </w:numPr>
        <w:textAlignment w:val="baseline"/>
      </w:pPr>
      <w:r>
        <w:t>R1-17</w:t>
      </w:r>
      <w:r w:rsidR="00110139">
        <w:t>13996</w:t>
      </w:r>
      <w:r>
        <w:rPr>
          <w:lang w:eastAsia="zh-CN"/>
        </w:rPr>
        <w:t xml:space="preserve">, </w:t>
      </w:r>
      <w:r w:rsidR="00110139">
        <w:rPr>
          <w:lang w:eastAsia="zh-CN"/>
        </w:rPr>
        <w:t>“</w:t>
      </w:r>
      <w:r w:rsidR="00110139" w:rsidRPr="00110139">
        <w:t>Conclusions on PC5 transmit diversity</w:t>
      </w:r>
      <w:r w:rsidR="00110139">
        <w:t>”</w:t>
      </w:r>
      <w:r>
        <w:rPr>
          <w:lang w:eastAsia="zh-CN"/>
        </w:rPr>
        <w:t>, RAN1-90.</w:t>
      </w:r>
    </w:p>
    <w:sectPr w:rsidR="005E634B">
      <w:pgSz w:w="11906" w:h="16838"/>
      <w:pgMar w:top="1416" w:right="1133" w:bottom="1133" w:left="1133" w:header="0" w:footer="0" w:gutter="0"/>
      <w:cols w:space="720"/>
      <w:formProt w:val="0"/>
      <w:docGrid w:linePitch="240" w:charSpace="204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1DA7B6" w14:textId="77777777" w:rsidR="00815CEF" w:rsidRDefault="00815CEF" w:rsidP="008B00C3">
      <w:pPr>
        <w:spacing w:after="0"/>
      </w:pPr>
      <w:r>
        <w:separator/>
      </w:r>
    </w:p>
  </w:endnote>
  <w:endnote w:type="continuationSeparator" w:id="0">
    <w:p w14:paraId="09E696B5" w14:textId="77777777" w:rsidR="00815CEF" w:rsidRDefault="00815CEF" w:rsidP="008B00C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icrosoft YaHei">
    <w:altName w:val="微软雅黑"/>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Liberation Sans">
    <w:altName w:val="Arial"/>
    <w:panose1 w:val="020B0604020202020204"/>
    <w:charset w:val="00"/>
    <w:family w:val="swiss"/>
    <w:pitch w:val="variable"/>
    <w:sig w:usb0="E0000AFF" w:usb1="500078FF" w:usb2="00000021" w:usb3="00000000" w:csb0="000001BF" w:csb1="00000000"/>
  </w:font>
  <w:font w:name="Calibri">
    <w:panose1 w:val="020F0502020204030204"/>
    <w:charset w:val="00"/>
    <w:family w:val="swiss"/>
    <w:pitch w:val="variable"/>
    <w:sig w:usb0="E10002FF" w:usb1="4000ACFF" w:usb2="00000009" w:usb3="00000000" w:csb0="0000019F"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FD7448" w14:textId="77777777" w:rsidR="00815CEF" w:rsidRDefault="00815CEF" w:rsidP="008B00C3">
      <w:pPr>
        <w:spacing w:after="0"/>
      </w:pPr>
      <w:r>
        <w:separator/>
      </w:r>
    </w:p>
  </w:footnote>
  <w:footnote w:type="continuationSeparator" w:id="0">
    <w:p w14:paraId="72F948D9" w14:textId="77777777" w:rsidR="00815CEF" w:rsidRDefault="00815CEF" w:rsidP="008B00C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88A4216"/>
    <w:multiLevelType w:val="multilevel"/>
    <w:tmpl w:val="0FB636CC"/>
    <w:lvl w:ilvl="0">
      <w:start w:val="1"/>
      <w:numFmt w:val="bullet"/>
      <w:lvlText w:val=""/>
      <w:lvlJc w:val="left"/>
      <w:pPr>
        <w:ind w:left="840" w:hanging="420"/>
      </w:pPr>
      <w:rPr>
        <w:rFonts w:ascii="Symbol" w:hAnsi="Symbol" w:cs="Times New Roman" w:hint="default"/>
      </w:rPr>
    </w:lvl>
    <w:lvl w:ilvl="1">
      <w:start w:val="1"/>
      <w:numFmt w:val="bullet"/>
      <w:lvlText w:val=""/>
      <w:lvlJc w:val="left"/>
      <w:pPr>
        <w:ind w:left="1260" w:hanging="420"/>
      </w:pPr>
      <w:rPr>
        <w:rFonts w:ascii="Wingdings" w:hAnsi="Wingdings" w:cs="Wingdings" w:hint="default"/>
      </w:rPr>
    </w:lvl>
    <w:lvl w:ilvl="2">
      <w:start w:val="1"/>
      <w:numFmt w:val="bullet"/>
      <w:lvlText w:val=""/>
      <w:lvlJc w:val="left"/>
      <w:pPr>
        <w:ind w:left="1680" w:hanging="420"/>
      </w:pPr>
      <w:rPr>
        <w:rFonts w:ascii="Wingdings" w:hAnsi="Wingdings" w:cs="Wingdings" w:hint="default"/>
      </w:rPr>
    </w:lvl>
    <w:lvl w:ilvl="3">
      <w:start w:val="1"/>
      <w:numFmt w:val="bullet"/>
      <w:lvlText w:val=""/>
      <w:lvlJc w:val="left"/>
      <w:pPr>
        <w:ind w:left="2100" w:hanging="420"/>
      </w:pPr>
      <w:rPr>
        <w:rFonts w:ascii="Wingdings" w:hAnsi="Wingdings" w:cs="Wingdings" w:hint="default"/>
      </w:rPr>
    </w:lvl>
    <w:lvl w:ilvl="4">
      <w:start w:val="1"/>
      <w:numFmt w:val="bullet"/>
      <w:lvlText w:val=""/>
      <w:lvlJc w:val="left"/>
      <w:pPr>
        <w:ind w:left="2520" w:hanging="420"/>
      </w:pPr>
      <w:rPr>
        <w:rFonts w:ascii="Wingdings" w:hAnsi="Wingdings" w:cs="Wingdings" w:hint="default"/>
      </w:rPr>
    </w:lvl>
    <w:lvl w:ilvl="5">
      <w:start w:val="1"/>
      <w:numFmt w:val="bullet"/>
      <w:lvlText w:val=""/>
      <w:lvlJc w:val="left"/>
      <w:pPr>
        <w:ind w:left="2940" w:hanging="420"/>
      </w:pPr>
      <w:rPr>
        <w:rFonts w:ascii="Wingdings" w:hAnsi="Wingdings" w:cs="Wingdings" w:hint="default"/>
      </w:rPr>
    </w:lvl>
    <w:lvl w:ilvl="6">
      <w:start w:val="1"/>
      <w:numFmt w:val="bullet"/>
      <w:lvlText w:val=""/>
      <w:lvlJc w:val="left"/>
      <w:pPr>
        <w:ind w:left="3360" w:hanging="420"/>
      </w:pPr>
      <w:rPr>
        <w:rFonts w:ascii="Wingdings" w:hAnsi="Wingdings" w:cs="Wingdings" w:hint="default"/>
      </w:rPr>
    </w:lvl>
    <w:lvl w:ilvl="7">
      <w:start w:val="1"/>
      <w:numFmt w:val="bullet"/>
      <w:lvlText w:val=""/>
      <w:lvlJc w:val="left"/>
      <w:pPr>
        <w:ind w:left="3780" w:hanging="420"/>
      </w:pPr>
      <w:rPr>
        <w:rFonts w:ascii="Wingdings" w:hAnsi="Wingdings" w:cs="Wingdings" w:hint="default"/>
      </w:rPr>
    </w:lvl>
    <w:lvl w:ilvl="8">
      <w:start w:val="1"/>
      <w:numFmt w:val="bullet"/>
      <w:lvlText w:val=""/>
      <w:lvlJc w:val="left"/>
      <w:pPr>
        <w:ind w:left="4200" w:hanging="420"/>
      </w:pPr>
      <w:rPr>
        <w:rFonts w:ascii="Wingdings" w:hAnsi="Wingdings" w:cs="Wingdings" w:hint="default"/>
      </w:rPr>
    </w:lvl>
  </w:abstractNum>
  <w:abstractNum w:abstractNumId="1" w15:restartNumberingAfterBreak="0">
    <w:nsid w:val="50604B5E"/>
    <w:multiLevelType w:val="multilevel"/>
    <w:tmpl w:val="2A7ADE6A"/>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 w15:restartNumberingAfterBreak="0">
    <w:nsid w:val="65954443"/>
    <w:multiLevelType w:val="multilevel"/>
    <w:tmpl w:val="0D386B32"/>
    <w:lvl w:ilvl="0">
      <w:start w:val="1"/>
      <w:numFmt w:val="decimal"/>
      <w:lvlText w:val="[%1]"/>
      <w:lvlJc w:val="left"/>
      <w:pPr>
        <w:tabs>
          <w:tab w:val="num" w:pos="360"/>
        </w:tabs>
        <w:ind w:left="357" w:hanging="357"/>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3" w15:restartNumberingAfterBreak="0">
    <w:nsid w:val="7CB631CA"/>
    <w:multiLevelType w:val="multilevel"/>
    <w:tmpl w:val="83F61442"/>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bordersDoNotSurroundHeader/>
  <w:bordersDoNotSurroundFooter/>
  <w:defaultTabStop w:val="284"/>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634B"/>
    <w:rsid w:val="0009483C"/>
    <w:rsid w:val="000A6A42"/>
    <w:rsid w:val="00110139"/>
    <w:rsid w:val="00147339"/>
    <w:rsid w:val="00274E35"/>
    <w:rsid w:val="002D0767"/>
    <w:rsid w:val="003233ED"/>
    <w:rsid w:val="005E634B"/>
    <w:rsid w:val="00626075"/>
    <w:rsid w:val="006C0C64"/>
    <w:rsid w:val="007B3DCD"/>
    <w:rsid w:val="007C07F8"/>
    <w:rsid w:val="00815CEF"/>
    <w:rsid w:val="00851BB3"/>
    <w:rsid w:val="00887FDC"/>
    <w:rsid w:val="008B00C3"/>
    <w:rsid w:val="008B3D34"/>
    <w:rsid w:val="008F6B86"/>
    <w:rsid w:val="009C6C59"/>
    <w:rsid w:val="00AB32C9"/>
    <w:rsid w:val="00AC1DC2"/>
    <w:rsid w:val="00C64B1A"/>
    <w:rsid w:val="00DA7FE1"/>
    <w:rsid w:val="00F93C10"/>
  </w:rsids>
  <m:mathPr>
    <m:mathFont m:val="Cambria Math"/>
    <m:brkBin m:val="before"/>
    <m:brkBinSub m:val="--"/>
    <m:smallFrac m:val="0"/>
    <m:dispDef/>
    <m:lMargin m:val="0"/>
    <m:rMargin m:val="0"/>
    <m:defJc m:val="centerGroup"/>
    <m:wrapIndent m:val="1440"/>
    <m:intLim m:val="subSup"/>
    <m:naryLim m:val="undOvr"/>
  </m:mathPr>
  <w:themeFontLang w:val="en-GB" w:eastAsia="ja-JP"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6940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E6EDF"/>
    <w:pPr>
      <w:spacing w:after="180"/>
    </w:pPr>
    <w:rPr>
      <w:lang w:eastAsia="en-US"/>
    </w:rPr>
  </w:style>
  <w:style w:type="paragraph" w:styleId="Heading1">
    <w:name w:val="heading 1"/>
    <w:basedOn w:val="Heading"/>
    <w:next w:val="Normal"/>
    <w:link w:val="Heading1Char"/>
    <w:qFormat/>
    <w:pPr>
      <w:keepLines/>
      <w:pBdr>
        <w:top w:val="single" w:sz="12" w:space="3" w:color="00000A"/>
      </w:pBdr>
      <w:spacing w:after="180"/>
      <w:ind w:left="1134" w:hanging="1134"/>
      <w:outlineLvl w:val="0"/>
    </w:pPr>
    <w:rPr>
      <w:rFonts w:ascii="Arial" w:hAnsi="Arial"/>
      <w:sz w:val="36"/>
    </w:rPr>
  </w:style>
  <w:style w:type="paragraph" w:styleId="Heading2">
    <w:name w:val="heading 2"/>
    <w:basedOn w:val="Heading1"/>
    <w:next w:val="Normal"/>
    <w:qFormat/>
    <w:pP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next w:val="Normal"/>
    <w:qFormat/>
    <w:pPr>
      <w:widowControl w:val="0"/>
      <w:outlineLvl w:val="5"/>
    </w:pPr>
  </w:style>
  <w:style w:type="paragraph" w:styleId="Heading7">
    <w:name w:val="heading 7"/>
    <w:next w:val="Normal"/>
    <w:qFormat/>
    <w:pPr>
      <w:widowControl w:val="0"/>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ZGSM">
    <w:name w:val="ZGSM"/>
    <w:qFormat/>
  </w:style>
  <w:style w:type="character" w:customStyle="1" w:styleId="HeaderChar">
    <w:name w:val="Header Char"/>
    <w:link w:val="Header"/>
    <w:qFormat/>
    <w:rsid w:val="00CD4C7B"/>
    <w:rPr>
      <w:rFonts w:ascii="Arial" w:hAnsi="Arial"/>
      <w:b/>
      <w:sz w:val="18"/>
      <w:lang w:val="en-GB" w:eastAsia="ja-JP" w:bidi="ar-SA"/>
    </w:rPr>
  </w:style>
  <w:style w:type="character" w:customStyle="1" w:styleId="InternetLink">
    <w:name w:val="Internet Link"/>
    <w:rsid w:val="0056573F"/>
    <w:rPr>
      <w:color w:val="0000FF"/>
      <w:u w:val="single"/>
    </w:rPr>
  </w:style>
  <w:style w:type="character" w:styleId="CommentReference">
    <w:name w:val="annotation reference"/>
    <w:basedOn w:val="DefaultParagraphFont"/>
    <w:qFormat/>
    <w:rsid w:val="00F67BF9"/>
    <w:rPr>
      <w:sz w:val="16"/>
      <w:szCs w:val="16"/>
    </w:rPr>
  </w:style>
  <w:style w:type="character" w:customStyle="1" w:styleId="CommentTextChar">
    <w:name w:val="Comment Text Char"/>
    <w:basedOn w:val="DefaultParagraphFont"/>
    <w:link w:val="CommentText"/>
    <w:qFormat/>
    <w:rsid w:val="00F67BF9"/>
    <w:rPr>
      <w:lang w:eastAsia="en-US"/>
    </w:rPr>
  </w:style>
  <w:style w:type="character" w:customStyle="1" w:styleId="CommentSubjectChar">
    <w:name w:val="Comment Subject Char"/>
    <w:basedOn w:val="CommentTextChar"/>
    <w:link w:val="CommentSubject"/>
    <w:qFormat/>
    <w:rsid w:val="00F67BF9"/>
    <w:rPr>
      <w:b/>
      <w:bCs/>
      <w:lang w:eastAsia="en-US"/>
    </w:rPr>
  </w:style>
  <w:style w:type="character" w:customStyle="1" w:styleId="BalloonTextChar">
    <w:name w:val="Balloon Text Char"/>
    <w:basedOn w:val="DefaultParagraphFont"/>
    <w:link w:val="BalloonText"/>
    <w:qFormat/>
    <w:rsid w:val="00F67BF9"/>
    <w:rPr>
      <w:rFonts w:ascii="Segoe UI" w:hAnsi="Segoe UI" w:cs="Segoe UI"/>
      <w:sz w:val="18"/>
      <w:szCs w:val="18"/>
      <w:lang w:eastAsia="en-US"/>
    </w:rPr>
  </w:style>
  <w:style w:type="character" w:customStyle="1" w:styleId="Heading1Char">
    <w:name w:val="Heading 1 Char"/>
    <w:basedOn w:val="DefaultParagraphFont"/>
    <w:link w:val="Heading1"/>
    <w:qFormat/>
    <w:rsid w:val="00D23D7A"/>
    <w:rPr>
      <w:rFonts w:ascii="Arial" w:hAnsi="Arial"/>
      <w:sz w:val="36"/>
      <w:lang w:eastAsia="en-US"/>
    </w:rPr>
  </w:style>
  <w:style w:type="character" w:customStyle="1" w:styleId="ListLabel1">
    <w:name w:val="ListLabel 1"/>
    <w:qFormat/>
    <w:rPr>
      <w:rFonts w:eastAsia="Times New Roman" w:cs="Times New Roman"/>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cs="Courier New"/>
    </w:rPr>
  </w:style>
  <w:style w:type="character" w:customStyle="1" w:styleId="ListLabel5">
    <w:name w:val="ListLabel 5"/>
    <w:qFormat/>
    <w:rPr>
      <w:rFonts w:cs="Courier New"/>
    </w:rPr>
  </w:style>
  <w:style w:type="character" w:customStyle="1" w:styleId="ListLabel6">
    <w:name w:val="ListLabel 6"/>
    <w:qFormat/>
    <w:rPr>
      <w:rFonts w:eastAsia="SimSun" w:cs="Times New Roman"/>
    </w:rPr>
  </w:style>
  <w:style w:type="character" w:customStyle="1" w:styleId="ListLabel7">
    <w:name w:val="ListLabel 7"/>
    <w:qFormat/>
    <w:rPr>
      <w:rFonts w:cs="Courier New"/>
    </w:rPr>
  </w:style>
  <w:style w:type="character" w:customStyle="1" w:styleId="ListLabel8">
    <w:name w:val="ListLabel 8"/>
    <w:qFormat/>
    <w:rPr>
      <w:rFonts w:cs="Courier New"/>
    </w:rPr>
  </w:style>
  <w:style w:type="character" w:customStyle="1" w:styleId="ListLabel9">
    <w:name w:val="ListLabel 9"/>
    <w:qFormat/>
    <w:rPr>
      <w:rFonts w:eastAsia="SimSun" w:cs="Times New Roman"/>
    </w:rPr>
  </w:style>
  <w:style w:type="character" w:customStyle="1" w:styleId="ListLabel10">
    <w:name w:val="ListLabel 10"/>
    <w:qFormat/>
    <w:rPr>
      <w:rFonts w:eastAsia="SimSun" w:cs="Times New Roman"/>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eastAsia="Times New Roman"/>
    </w:rPr>
  </w:style>
  <w:style w:type="character" w:customStyle="1" w:styleId="ListLabel15">
    <w:name w:val="ListLabel 15"/>
    <w:qFormat/>
    <w:rPr>
      <w:rFonts w:eastAsia="MS Mincho" w:cs="Times New Roman"/>
    </w:rPr>
  </w:style>
  <w:style w:type="character" w:customStyle="1" w:styleId="ListLabel16">
    <w:name w:val="ListLabel 16"/>
    <w:qFormat/>
    <w:rPr>
      <w:rFonts w:eastAsia="MS Mincho" w:cs="Times New Roman"/>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eastAsia="MS Mincho" w:cs="Times New Roman"/>
    </w:rPr>
  </w:style>
  <w:style w:type="character" w:customStyle="1" w:styleId="ListLabel21">
    <w:name w:val="ListLabel 21"/>
    <w:qFormat/>
    <w:rPr>
      <w:rFonts w:eastAsia="Batang" w:cs="Times New Roman"/>
    </w:rPr>
  </w:style>
  <w:style w:type="character" w:customStyle="1" w:styleId="FootnoteCharacters">
    <w:name w:val="Footnote Characters"/>
    <w:qFormat/>
  </w:style>
  <w:style w:type="paragraph" w:customStyle="1" w:styleId="Heading">
    <w:name w:val="Heading"/>
    <w:basedOn w:val="Normal"/>
    <w:next w:val="BodyText"/>
    <w:qFormat/>
    <w:pPr>
      <w:keepNext/>
      <w:spacing w:before="240" w:after="120"/>
    </w:pPr>
    <w:rPr>
      <w:rFonts w:ascii="Liberation Sans" w:eastAsia="Microsoft YaHei" w:hAnsi="Liberation Sans" w:cs="Mangal"/>
      <w:sz w:val="28"/>
      <w:szCs w:val="28"/>
    </w:rPr>
  </w:style>
  <w:style w:type="paragraph" w:styleId="BodyText">
    <w:name w:val="Body Text"/>
    <w:basedOn w:val="Normal"/>
    <w:pPr>
      <w:spacing w:after="140" w:line="288" w:lineRule="auto"/>
    </w:pPr>
  </w:style>
  <w:style w:type="paragraph" w:styleId="List">
    <w:name w:val="List"/>
    <w:basedOn w:val="BodyText"/>
    <w:rPr>
      <w:rFonts w:cs="Mangal"/>
    </w:rPr>
  </w:style>
  <w:style w:type="paragraph" w:styleId="Caption">
    <w:name w:val="caption"/>
    <w:basedOn w:val="Normal"/>
    <w:qFormat/>
    <w:pPr>
      <w:suppressLineNumbers/>
      <w:spacing w:before="120" w:after="120"/>
    </w:pPr>
    <w:rPr>
      <w:rFonts w:cs="Mangal"/>
      <w:i/>
      <w:iCs/>
      <w:sz w:val="24"/>
      <w:szCs w:val="24"/>
    </w:rPr>
  </w:style>
  <w:style w:type="paragraph" w:customStyle="1" w:styleId="Index">
    <w:name w:val="Index"/>
    <w:basedOn w:val="Normal"/>
    <w:qFormat/>
    <w:pPr>
      <w:suppressLineNumbers/>
    </w:pPr>
    <w:rPr>
      <w:rFonts w:cs="Mangal"/>
    </w:rPr>
  </w:style>
  <w:style w:type="paragraph" w:customStyle="1" w:styleId="H6">
    <w:name w:val="H6"/>
    <w:basedOn w:val="Heading5"/>
    <w:next w:val="Normal"/>
    <w:qFormat/>
    <w:pPr>
      <w:ind w:left="1985" w:hanging="1985"/>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basedOn w:val="Index"/>
    <w:semiHidden/>
    <w:pPr>
      <w:keepNext/>
      <w:keepLines/>
      <w:widowControl w:val="0"/>
      <w:tabs>
        <w:tab w:val="right" w:leader="dot" w:pos="9639"/>
      </w:tabs>
      <w:spacing w:before="120"/>
      <w:ind w:left="567" w:right="425" w:hanging="567"/>
    </w:pPr>
    <w:rPr>
      <w:sz w:val="22"/>
    </w:rPr>
  </w:style>
  <w:style w:type="paragraph" w:customStyle="1" w:styleId="EQ">
    <w:name w:val="EQ"/>
    <w:basedOn w:val="Normal"/>
    <w:next w:val="Normal"/>
    <w:qFormat/>
    <w:pPr>
      <w:keepLines/>
      <w:tabs>
        <w:tab w:val="center" w:pos="4536"/>
        <w:tab w:val="right" w:pos="9072"/>
      </w:tabs>
    </w:pPr>
  </w:style>
  <w:style w:type="paragraph" w:styleId="Header">
    <w:name w:val="header"/>
    <w:basedOn w:val="Normal"/>
    <w:link w:val="HeaderChar"/>
    <w:pPr>
      <w:widowControl w:val="0"/>
      <w:textAlignment w:val="baseline"/>
    </w:pPr>
    <w:rPr>
      <w:rFonts w:ascii="Arial" w:hAnsi="Arial"/>
      <w:b/>
      <w:sz w:val="18"/>
      <w:lang w:eastAsia="ja-JP"/>
    </w:rPr>
  </w:style>
  <w:style w:type="paragraph" w:customStyle="1" w:styleId="ZD">
    <w:name w:val="ZD"/>
    <w:qFormat/>
    <w:pPr>
      <w:widowControl w:val="0"/>
    </w:pPr>
    <w:rPr>
      <w:rFonts w:ascii="Arial" w:hAnsi="Arial"/>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qFormat/>
  </w:style>
  <w:style w:type="paragraph" w:customStyle="1" w:styleId="NF">
    <w:name w:val="NF"/>
    <w:qFormat/>
    <w:pPr>
      <w:keepNext/>
      <w:widowControl w:val="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qFormat/>
    <w:pPr>
      <w:widowControl w:val="0"/>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qFormat/>
    <w:pPr>
      <w:widowControl w:val="0"/>
    </w:pPr>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qFormat/>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qFormat/>
    <w:pPr>
      <w:widowControl w:val="0"/>
      <w:pBdr>
        <w:bottom w:val="single" w:sz="12" w:space="1" w:color="00000A"/>
      </w:pBdr>
      <w:jc w:val="right"/>
    </w:pPr>
    <w:rPr>
      <w:rFonts w:ascii="Arial" w:hAnsi="Arial"/>
      <w:sz w:val="40"/>
      <w:lang w:eastAsia="en-US"/>
    </w:rPr>
  </w:style>
  <w:style w:type="paragraph" w:customStyle="1" w:styleId="ZB">
    <w:name w:val="ZB"/>
    <w:qFormat/>
    <w:pPr>
      <w:widowControl w:val="0"/>
      <w:ind w:right="28"/>
      <w:jc w:val="right"/>
    </w:pPr>
    <w:rPr>
      <w:rFonts w:ascii="Arial" w:hAnsi="Arial"/>
      <w:i/>
      <w:lang w:eastAsia="en-US"/>
    </w:rPr>
  </w:style>
  <w:style w:type="paragraph" w:customStyle="1" w:styleId="ZT">
    <w:name w:val="ZT"/>
    <w:qFormat/>
    <w:pPr>
      <w:widowControl w:val="0"/>
      <w:spacing w:line="240" w:lineRule="atLeast"/>
      <w:jc w:val="right"/>
    </w:pPr>
    <w:rPr>
      <w:rFonts w:ascii="Arial" w:hAnsi="Arial"/>
      <w:b/>
      <w:sz w:val="34"/>
      <w:lang w:eastAsia="en-US"/>
    </w:rPr>
  </w:style>
  <w:style w:type="paragraph" w:customStyle="1" w:styleId="ZU">
    <w:name w:val="ZU"/>
    <w:qFormat/>
    <w:pPr>
      <w:widowControl w:val="0"/>
      <w:pBdr>
        <w:top w:val="single" w:sz="12" w:space="1" w:color="00000A"/>
      </w:pBdr>
      <w:jc w:val="right"/>
    </w:pPr>
    <w:rPr>
      <w:rFonts w:ascii="Arial" w:hAnsi="Arial"/>
      <w:lang w:eastAsia="en-US"/>
    </w:rPr>
  </w:style>
  <w:style w:type="paragraph" w:customStyle="1" w:styleId="TAN">
    <w:name w:val="TAN"/>
    <w:basedOn w:val="TAL"/>
    <w:qFormat/>
    <w:pPr>
      <w:ind w:left="851" w:hanging="851"/>
    </w:pPr>
  </w:style>
  <w:style w:type="paragraph" w:customStyle="1" w:styleId="ZH">
    <w:name w:val="ZH"/>
    <w:qFormat/>
    <w:pPr>
      <w:widowControl w:val="0"/>
    </w:pPr>
    <w:rPr>
      <w:rFonts w:ascii="Arial" w:hAnsi="Arial"/>
      <w:lang w:eastAsia="en-US"/>
    </w:rPr>
  </w:style>
  <w:style w:type="paragraph" w:customStyle="1" w:styleId="TF">
    <w:name w:val="TF"/>
    <w:basedOn w:val="TH"/>
    <w:qFormat/>
    <w:pPr>
      <w:spacing w:before="0" w:after="240"/>
    </w:pPr>
  </w:style>
  <w:style w:type="paragraph" w:customStyle="1" w:styleId="ZG">
    <w:name w:val="ZG"/>
    <w:qFormat/>
    <w:pPr>
      <w:widowControl w:val="0"/>
      <w:jc w:val="right"/>
    </w:pPr>
    <w:rPr>
      <w:rFonts w:ascii="Arial" w:hAnsi="Arial"/>
      <w:lang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rPr>
      <w:i w:val="0"/>
      <w:sz w:val="40"/>
    </w:rPr>
  </w:style>
  <w:style w:type="paragraph" w:customStyle="1" w:styleId="ZV">
    <w:name w:val="ZV"/>
    <w:basedOn w:val="ZU"/>
    <w:qFormat/>
  </w:style>
  <w:style w:type="paragraph" w:customStyle="1" w:styleId="TAJ">
    <w:name w:val="TAJ"/>
    <w:basedOn w:val="TH"/>
    <w:qFormat/>
  </w:style>
  <w:style w:type="paragraph" w:customStyle="1" w:styleId="Guidance">
    <w:name w:val="Guidance"/>
    <w:basedOn w:val="Normal"/>
    <w:qFormat/>
    <w:rPr>
      <w:i/>
      <w:color w:val="0000FF"/>
    </w:rPr>
  </w:style>
  <w:style w:type="paragraph" w:customStyle="1" w:styleId="CRCoverPage">
    <w:name w:val="CR Cover Page"/>
    <w:qFormat/>
    <w:rsid w:val="00CD4C7B"/>
    <w:pPr>
      <w:spacing w:after="120"/>
    </w:pPr>
    <w:rPr>
      <w:rFonts w:ascii="Arial" w:eastAsia="MS Mincho" w:hAnsi="Arial"/>
      <w:lang w:eastAsia="en-US"/>
    </w:rPr>
  </w:style>
  <w:style w:type="paragraph" w:styleId="CommentText">
    <w:name w:val="annotation text"/>
    <w:basedOn w:val="Normal"/>
    <w:link w:val="CommentTextChar"/>
    <w:qFormat/>
    <w:rsid w:val="00F67BF9"/>
  </w:style>
  <w:style w:type="paragraph" w:styleId="CommentSubject">
    <w:name w:val="annotation subject"/>
    <w:basedOn w:val="CommentText"/>
    <w:link w:val="CommentSubjectChar"/>
    <w:qFormat/>
    <w:rsid w:val="00F67BF9"/>
    <w:rPr>
      <w:b/>
      <w:bCs/>
    </w:rPr>
  </w:style>
  <w:style w:type="paragraph" w:styleId="BalloonText">
    <w:name w:val="Balloon Text"/>
    <w:basedOn w:val="Normal"/>
    <w:link w:val="BalloonTextChar"/>
    <w:qFormat/>
    <w:rsid w:val="00F67BF9"/>
    <w:pPr>
      <w:spacing w:after="0"/>
    </w:pPr>
    <w:rPr>
      <w:rFonts w:ascii="Segoe UI" w:hAnsi="Segoe UI" w:cs="Segoe UI"/>
      <w:sz w:val="18"/>
      <w:szCs w:val="18"/>
    </w:rPr>
  </w:style>
  <w:style w:type="paragraph" w:styleId="ListParagraph">
    <w:name w:val="List Paragraph"/>
    <w:basedOn w:val="Normal"/>
    <w:uiPriority w:val="34"/>
    <w:qFormat/>
    <w:rsid w:val="00717954"/>
    <w:pPr>
      <w:ind w:left="720"/>
      <w:contextualSpacing/>
    </w:pPr>
  </w:style>
  <w:style w:type="table" w:styleId="TableGrid">
    <w:name w:val="Table Grid"/>
    <w:basedOn w:val="TableNormal"/>
    <w:uiPriority w:val="39"/>
    <w:rsid w:val="005B79C5"/>
    <w:rPr>
      <w:rFonts w:eastAsiaTheme="minorEastAsia" w:cstheme="minorBidi"/>
      <w:color w:val="44546A" w:themeColor="text2"/>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w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563FAE-EFA6-4EF4-9DE0-5F8DF9668B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1660</Words>
  <Characters>9467</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2017-08-12T00:52:00Z</dcterms:created>
  <dcterms:modified xsi:type="dcterms:W3CDTF">2017-08-12T00:54:00Z</dcterms:modified>
  <dc:language/>
</cp:coreProperties>
</file>